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타인을 기망하여 재물을 편취한 경우 어떤 처벌을 받나요?</w:t>
      </w:r>
    </w:p>
    <w:p>
      <w:pPr>
        <w:pStyle w:val="Heading1"/>
      </w:pPr>
      <w:r>
        <w:t>【답변 요지】</w:t>
      </w:r>
    </w:p>
    <w:p>
      <w:r>
        <w:t>타인을 기망하여 재물을 편취한 경우, 형법 제347조에 따라 10년 이하의 징역 또는 2천만원 이하의 벌금에 처해질 수 있습니다. 이 처벌은 기망 행위를 통해 직접 재물을 교부받거나 재산상의 이익을 취득한 경우에 적용되며, 제3자를 통해 재물을 편취한 경우에도 제348조에 따라 동일한 형량이 적용됩니다. 처벌은 기망의 정도, 피해 규모, 그리고 재범 여부 등 다양한 요소에 따라 결정됩니다.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형법 제347조(사기)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제347조(사기)</w:t>
        <w:br/>
        <w:t xml:space="preserve">① 사람을 기망하여 재물의 교부를 받거나 재산상의 이익을 취득한 자는 20년 이하의 징역 또는 5천만원 이하의 벌금에 처한다.  </w:t>
        <w:br/>
        <w:t>②전항의 방법으로 제삼자로 하여금 재물의 교부를 받게 하거나 재산상의 이익을 취득하게 한 때에도 전항의 형과 같다.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사람을 기망하여 재물의 교부를 받거나 재산상의 이익을 취득한 자는 10년 이하의 징역 또는 2천만원 이하의 벌금에 처한다. 이 조문은 기망 행위를 통해 직접 재물을 편취한 경우에 적용되며, 기망의 성공 여부와 그로 인한 피해의 크기가 형량 결정에 중요한 역할을 한다. 특히, 재범이거나 피해 규모가 크다면 더 중한 처벌을 받을 수 있다.</w:t>
      </w:r>
    </w:p>
    <w:p>
      <w:r>
        <w:rPr>
          <w:b/>
          <w:i w:val="0"/>
          <w:color w:val="1F3864"/>
          <w:sz w:val="22"/>
        </w:rPr>
        <w:t>▸ (미지정) 제348조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제1항의 방법으로 제3자로 하여금 재물을 교부받게 하거나 재산상 이익을 취득하게 한 경우에도 제1항의 형에 처한다. 이 조문은 기망 행위를 통해 제3자를 통해 재물을 편취한 경우에도 동일한 처벌을 받게 함으로써, 간접적인 피해 행위에도 엄격한 책임을 부과한다.</w:t>
      </w:r>
    </w:p>
    <w:p>
      <w:r>
        <w:rPr>
          <w:b/>
          <w:i w:val="0"/>
          <w:color w:val="1F3864"/>
          <w:sz w:val="22"/>
        </w:rPr>
        <w:t>▸ 형법 제348조(준사기)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제348조(준사기)</w:t>
        <w:br/>
        <w:t xml:space="preserve">① 미성년자의 사리분별력 부족 또는 사람의 심신장애를 이용하여 재물을 교부받거나 재산상 이익을 취득한 자는 20년 이하의 징역 또는 5천만원 이하의 벌금에 처한다.  </w:t>
        <w:br/>
        <w:t>② 제1항의 방법으로 제3자로 하여금 재물을 교부받게 하거나 재산상 이익을 취득하게 한 경우에도 제1항의 형에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제1항의 방법으로 제3자로 하여금 재물을 교부받게 하거나 재산상 이익을 취득하게 한 경우에도 제1항의 형에 처한다. 이 조문은 기망 행위를 통해 제3자를 통해 재물을 편취한 경우에도 동일한 처벌을 받게 함으로써, 간접적인 피해 행위에도 엄격한 책임을 부과한다.</w:t>
      </w:r>
    </w:p>
    <w:p>
      <w:pPr>
        <w:pStyle w:val="Heading1"/>
      </w:pPr>
      <w:r>
        <w:t>【결론】</w:t>
      </w:r>
    </w:p>
    <w:p>
      <w:r>
        <w:t>타인을 기망하여 재물을 편취한 경우, 형법 제347조에 따라 최대 10년 이하의 징역 또는 2천만원 이하의 벌금에 처해질 수 있습니다. 실무적으로는 사건의 구체적인 상황, 피해 규모, 그리고 기망 행위의 중대성 등을 고려하여 형량이 결정됩니다. 피해자는 고소를 통해 형사 절차를 진행할 수 있으며, 필요하다면 민사 소송을 통해 손해배상 청구도 가능합니다. 또한, 재범 방지를 위한 교육 프로그램 참여나 사회봉사 등의 조건이 부과될 수 있으니, 해당 사안에 대한 법률 자문을 받는 것이 바람직합니다.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2/3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EXAONE-3.5-7.8B · 교차검증: Qwen2.5-7B (온프레미스)</w:t>
      </w:r>
    </w:p>
    <w:p>
      <w:r>
        <w:rPr>
          <w:b w:val="0"/>
          <w:i w:val="0"/>
          <w:color w:val="666666"/>
          <w:sz w:val="18"/>
        </w:rPr>
        <w:t>문서 생성: 2026-07-07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