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사전에 공모하여 실제로는 소유권이 이전되지 않았음에도 불구하고, 이를 마치 이전된 것처럼 허위로 꾸며 공무원에게 신고하였다. 그 결과 부동산 소유권에 관한 공정증서원본에 사실과 다른 내용이 기재되었다. 이후 갑과 을은 해당 문서를 부동산 거래에서 사용하여 진정한 권리자인 것처럼 행사하였다. 수사기관은 이들의 행위가 형사처벌 대상에 해당할 수 있다고 보고 조사에 착수하였다.</w:t>
        <w:br/>
        <w:br/>
        <w:t>[질문] 갑과 을이 공모하여 허위신고를 통해 공정증서원본에 사실과 다른 내용을 기재하게 하고, 그 문서를 실제 거래에서 사용한 경우, 형법상 어떤 죄로 처벌받게 되며, 공동으로 범한 범죄라는 점은 처벌에 어떤 영향을 미치는가?</w:t>
        <w:br/>
        <w:br/>
        <w:t>위 상황에 적용되는 대한민국 법조문을 '법령명 제N조' 형식으로 구체적으로 인용하여 근거와 함께 답하세요.</w:t>
      </w:r>
    </w:p>
    <w:p>
      <w:pPr>
        <w:pStyle w:val="Heading1"/>
      </w:pPr>
      <w:r>
        <w:t>【답변 요지】</w:t>
      </w:r>
    </w:p>
    <w:p>
      <w:r>
        <w:t>갑과 을의 행위는 부동산소유권 이전등기 등에 관한 특별조치법 제16조에 따라 허위보증서 작성 및 행사죄에 해당하며, 1년 이상 10년 이하의 징역 또는 1천만원 이상 1억원 이하의 벌금에 처해질 수 있습니다. 두 사람이 사전에 공모하여 범행에 참여했으므로 형법상 공동정범에 해당하여 각자 전체 범죄 결과에 대해 책임을 집니다. 공동범이라는 점은 개별 행위자의 역할 크기와 무관하게 모두 동일한 형사처벌을 받도록 하는 효과가 있습니다.</w:t>
      </w:r>
    </w:p>
    <w:p>
      <w:pPr>
        <w:pStyle w:val="Heading1"/>
      </w:pPr>
      <w:r>
        <w:t>【관련 법령 및 해설】</w:t>
      </w:r>
    </w:p>
    <w:p>
      <w:r>
        <w:rPr>
          <w:b/>
          <w:i w:val="0"/>
          <w:color w:val="1F3864"/>
          <w:sz w:val="22"/>
        </w:rPr>
        <w:t>▸ 1980년해직공무원의보상등에관한특별조치법 제16조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허위의 보증서를 작성하거나 타인을 기망하여 작성하게 한 자, 그리고 이를 행사한 자는 1년 이상 10년 이하의 징역 또는 1천만원 이상 1억원 이하의 벌금에 처하거나 이를 병과할 수 있습니다. 이 조문은 허위 방법으로 확인서를 발급받거나 행사할 목적으로 문서를 위조·변조한 경우에도 동일한 형벌을 적용합니다. 갑과 을이 허위신고를 통해 공정증서원본에 사실과 다른 내용을 기재하게 한 행위는 허위보증서 작성죄에 해당합니다. 이후 해당 문서를 거래에 사용한 행위는 위조된 문서를 행사한 죄로 평가됩니다.</w:t>
      </w:r>
    </w:p>
    <w:p>
      <w:pPr>
        <w:pStyle w:val="Heading1"/>
      </w:pPr>
      <w:r>
        <w:t>【결론】</w:t>
      </w:r>
    </w:p>
    <w:p>
      <w:r>
        <w:t>갑과 을은 공동으로 허위보증서를 작성하고 행사한 행위로 인해 부동산소유권 이전등기 등에 관한 특별조치법 제16조에 따라 형사처벌을 받게 됩니다. 공동정범으로서 각자는 상대방의 행위까지 자신의 행위와 동일하게 책임지므로, 개별 기여도보다는 전체 범죄 결과에 대한 책임이 강조됩니다. 수사기관은 이들의 공모 사실과 문서 사용 사실을 입증하여 기소할 것이며, 법원은 공동범의 성격을 고려하여 형량을 결정할 것입니다.</w:t>
      </w:r>
    </w:p>
    <w:p>
      <w:pPr>
        <w:jc w:val="center"/>
      </w:pPr>
      <w:r>
        <w:rPr>
          <w:b w:val="0"/>
          <w:i w:val="0"/>
          <w:color w:val="666666"/>
        </w:rPr>
        <w:t>──────────────────────────────</w:t>
      </w:r>
    </w:p>
    <w:p>
      <w:r>
        <w:rPr>
          <w:b/>
          <w:i w:val="0"/>
          <w:sz w:val="20"/>
        </w:rPr>
        <w:t>인용 검증: 0/1 법제처 확인  |  내용 일치: 0/0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