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오랜 기간 동안 사업 파트너로 일해왔다. 갑은 을이 자신을 배신하고 경쟁 업체에 기밀 정보를 유출했다고 믿고 을과 심하게 다툰 끝에 을을 살해하였다. 사건이 경찰에 의해 조사되면서 갑은 체포되었고, 검찰은 갑을 살인죄로 기소하였다.</w:t>
        <w:br/>
        <w:br/>
        <w:t>[질문] 갑이 을을 살해한 경우, 갑은 어떤 처벌을 받을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을의 촉탁이나 승낙 없이 살해하였으므로 형법 제 252 조의 촉탁살인죄가 성립하지 않습니다. 대신 일반 살인죄인 형법 제 250 조 제 1 항에 해당하여 사형, 무기 또는 5 년 이상의 징역에 처해질 수 있습니다. 사업 파트너 간의 다툼이나 배신이라는 사정은 살인죄의 구성요건 해당성을 부정하거나 위법성을 조각하는 사유가 되지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제252조(촉탁, 승낙에 의한 살인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제252조(촉탁, 승낙에 의한 살인 등)</w:t>
        <w:br/>
        <w:t>① 사람의 촉탁이나 승낙을 받아 그를 살해한 자는 1년 이상 10년 이하의 징역에 처한다.</w:t>
        <w:br/>
        <w:t>② 사람을 교사하거나 방조하여 자살하게 한 자도 제1항의 형에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사람의 촉탁이나 승낙을 받아 그를 살해한 자는 1 년 이상 10 년 이하의 징역에 처하지만, 본 사안에서는 피해자의 동의가 없으므로 적용되지 않습니다.</w:t>
      </w:r>
    </w:p>
    <w:p>
      <w:r>
        <w:rPr>
          <w:b/>
          <w:i w:val="0"/>
          <w:color w:val="1F3864"/>
          <w:sz w:val="22"/>
        </w:rPr>
        <w:t>▸ 형법 제250조 제1항(살인, 존속살해)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제250조(살인, 존속살해)</w:t>
        <w:br/>
        <w:t>①사람을 살해한 자는 사형, 무기 또는 5년 이상의 징역에 처한다.</w:t>
        <w:br/>
        <w:t>②자기 또는 배우자의 직계존속을 살해한 자는 사형, 무기 또는 7년 이상의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사람을 살해한 자는 사형, 무기 또는 5 년 이상의 징역에 처하며, 이는 타인의 생명권을 침해한 가장 중대한 범죄를 규정한 조문입니다.</w:t>
      </w:r>
    </w:p>
    <w:p>
      <w:r>
        <w:rPr>
          <w:b/>
          <w:i w:val="0"/>
          <w:color w:val="1F3864"/>
          <w:sz w:val="22"/>
        </w:rPr>
        <w:t>▸ 형법 제250조(살인, 존속살해)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제250조(살인, 존속살해)</w:t>
        <w:br/>
        <w:t>①사람을 살해한 자는 사형, 무기 또는 5년 이상의 징역에 처한다.</w:t>
        <w:br/>
        <w:t>②자기 또는 배우자의 직계존속을 살해한 자는 사형, 무기 또는 7년 이상의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사람을 살해한 자는 사형, 무기 또는 5 년 이상의 징역에 처하며, 이는 타인의 생명권을 침해한 가장 중대한 범죄를 규정한 조문입니다.</w:t>
      </w:r>
    </w:p>
    <w:p>
      <w:pPr>
        <w:pStyle w:val="Heading1"/>
      </w:pPr>
      <w:r>
        <w:t>【결론】</w:t>
      </w:r>
    </w:p>
    <w:p>
      <w:r>
        <w:t>갑은 을의 동의 없이 살해하였으므로 일반 살인죄로 기소되어 사형, 무기 또는 5 년 이상의 징역 중 하나를 선고받을 가능성이 높습니다. 사업적 배신이나 다툼은 형사상 정당방위나 긴급피난 등 위법성 조각사유가 되지 않으므로 감경 사유로만 고려될 수 있습니다. 따라서 갑은 살인죄의 중한 형벌을 피할 수 없으며, 구체적인 양형은 사건의 구체적 정황에 따라 결정됩니다.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