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재산을 탈취할 목적으로 병의 집에 침입하여 병을 폭행, 협박하여 귀중품을 훔쳤다. 검찰은 갑과 을을 강도죄로 기소하였다.</w:t>
        <w:br/>
        <w:br/>
        <w:t>[질문] 갑과 을이 공동으로 강도죄를 저지른 경우, 이들은 각각 어떤 처벌을 받게 되는가?</w:t>
        <w:br/>
        <w:br/>
        <w:t>위 상황에 적용되는 대한민국 법조문을 '법령명 제N조' 형식으로 구체적으로 인용하여 근거와 함께 답하세요.</w:t>
      </w:r>
    </w:p>
    <w:p>
      <w:pPr>
        <w:pStyle w:val="Heading1"/>
      </w:pPr>
      <w:r>
        <w:t>【답변 요지】</w:t>
      </w:r>
    </w:p>
    <w:p>
      <w:r>
        <w:t>갑과 을은 재산을 탈취할 목적으로 폭행과 협박을 수단으로 재물을 강취하였으므로 형법상 강도죄가 성립합니다. 두 사람이 공동으로 범행에 참여하였으므로 형법상 공동정범으로 처벌받게 됩니다. 다만, 제공된 참고 조문에는 강도죄에 대한 직접적인 형량 규정이나 공동정범에 대한 일반 규정이 포함되어 있지 않아 구체적인 형량 산정은 참고 조문 범위 밖의 조문을 필요로 합니다.</w:t>
      </w:r>
    </w:p>
    <w:p>
      <w:pPr>
        <w:pStyle w:val="Heading1"/>
      </w:pPr>
      <w:r>
        <w:t>【관련 법령 및 해설】</w:t>
      </w:r>
    </w:p>
    <w:p>
      <w:r>
        <w:rPr>
          <w:b/>
          <w:i w:val="0"/>
          <w:color w:val="1F3864"/>
          <w:sz w:val="22"/>
        </w:rPr>
        <w:t>▸ 형법 제329조(절도)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제329조(절도) 타인의 재물을 절취한 자는 6년 이하의 징역 또는 1천만원 이하의 벌금에 처한다.</w:t>
      </w:r>
    </w:p>
    <w:p>
      <w:pPr>
        <w:ind w:left="320"/>
      </w:pPr>
      <w:r>
        <w:rPr>
          <w:b/>
          <w:i w:val="0"/>
          <w:sz w:val="20"/>
        </w:rPr>
        <w:t xml:space="preserve">· 해설: </w:t>
      </w:r>
      <w:r>
        <w:rPr>
          <w:b w:val="0"/>
          <w:i w:val="0"/>
          <w:sz w:val="20"/>
        </w:rPr>
        <w:t>이 조문은 절도와 강도의 죄에 관한 장을 규정하고 있으나, 제공된 참고 조문에는 강도죄의 구체적인 구성요건과 형량에 대한 본문 내용이 포함되어 있지 않습니다. 따라서 이 조문만으로는 강도죄의 성립 요건과 처벌 기준을 구체적으로 설명할 수 없습니다.</w:t>
      </w:r>
    </w:p>
    <w:p>
      <w:r>
        <w:rPr>
          <w:b/>
          <w:i w:val="0"/>
          <w:color w:val="1F3864"/>
          <w:sz w:val="22"/>
        </w:rPr>
        <w:t>▸ 폭력행위 등 처벌에 관한 법률 제2조(폭행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제2조(폭행 등)</w:t>
        <w:br/>
        <w:t xml:space="preserve">① 삭제  </w:t>
        <w:br/>
        <w:t xml:space="preserve">② 2명 이상이 공동하여 다음 각 호의 죄를 범한 사람은 「형법」 각 해당 조항에서 정한 형의 2분의 1까지 가중한다.  </w:t>
        <w:br/>
        <w:t>1.  「형법」 제260조제1항(폭행), 제283조제1항(협박), 제319조(주거침입, 퇴거불응) 또는 제366조(재물손괴 등)의 죄</w:t>
        <w:br/>
        <w:t>2.  「형법」 제260조제2항(존속폭행), 제276조제1항(체포, 감금), 제283조제2항(존속협박) 또는 제324조제1항(강요)의 죄</w:t>
        <w:br/>
        <w:t>3.  「형법」 제257조제1항(상해)ㆍ제2항(존속상해), 제276조제2항(존속체포, 존속감금) 또는 제350조(공갈)의 죄</w:t>
        <w:br/>
        <w:t xml:space="preserve">③ 이 법(「형법」 각 해당 조항 및 각 해당 조항의 상습범, 특수범, 상습특수범, 각 해당 조항의 상습범의 미수범, 특수범의 미수범, 상습특수범의 미수범을 포함한다)을 위반하여 2회 이상 징역형을 받은 사람이 다시 제2항 각 호에 규정된 죄를 범하여 누범(累犯)으로 처벌할 경우에는 다음 각 호의 구분에 따라 가중처벌한다.  </w:t>
        <w:br/>
        <w:t>1.  제2항제1호에 규정된 죄를 범한 사람: 7년 이하의 징역</w:t>
        <w:br/>
        <w:t>2.  제2항제2호에 규정된 죄를 범한 사람: 1년 이상 12년 이하의 징역</w:t>
        <w:br/>
        <w:t>3.  제2항제3호에 규정된 죄를 범한 사람: 2년 이상 20년 이하의 징역</w:t>
        <w:br/>
        <w:t>④ 제2항과 제3항의 경우에는 「형법」 제260조제3항 및 제283조제3항을 적용하지 아니한다.</w:t>
      </w:r>
    </w:p>
    <w:p>
      <w:pPr>
        <w:ind w:left="320"/>
      </w:pPr>
      <w:r>
        <w:rPr>
          <w:b/>
          <w:i w:val="0"/>
          <w:sz w:val="20"/>
        </w:rPr>
        <w:t xml:space="preserve">· 해설: </w:t>
      </w:r>
      <w:r>
        <w:rPr>
          <w:b w:val="0"/>
          <w:i w:val="0"/>
          <w:sz w:val="20"/>
        </w:rPr>
        <w:t>이 조문은 2 명 이상이 공동하여 폭행, 협박, 상해 등 특정 죄를 범한 경우 형법에서 정한 형의 2 분의 1 까지 가중처벌하는 규정을 두고 있습니다. 그러나 본 사안에서 적용되는 강도죄는 이 조문 제 2 항 각 호에 열거된 죄목에 포함되지 않으므로, 이 조문을 근거로 형을 가중할 수는 없습니다.</w:t>
      </w:r>
    </w:p>
    <w:p>
      <w:r>
        <w:rPr>
          <w:b/>
          <w:i w:val="0"/>
          <w:color w:val="1F3864"/>
          <w:sz w:val="22"/>
        </w:rPr>
        <w:t>▸ 형법 제330조(야간주거침입절도)</w:t>
      </w:r>
      <w:r>
        <w:t xml:space="preserve">   </w:t>
      </w:r>
      <w:r>
        <w:rPr>
          <w:b/>
          <w:i w:val="0"/>
          <w:color w:val="1A7F37"/>
          <w:sz w:val="18"/>
        </w:rPr>
        <w:t>[✓ 실존]</w:t>
      </w:r>
      <w:r>
        <w:t xml:space="preserve"> </w:t>
      </w:r>
      <w:r>
        <w:rPr>
          <w:b/>
          <w:i w:val="0"/>
          <w:color w:val="666666"/>
          <w:sz w:val="18"/>
        </w:rPr>
        <w:t>[· 내용미확인]</w:t>
      </w:r>
    </w:p>
    <w:p>
      <w:pPr>
        <w:ind w:left="320"/>
      </w:pPr>
      <w:r>
        <w:rPr>
          <w:b/>
          <w:i w:val="0"/>
          <w:sz w:val="18"/>
        </w:rPr>
        <w:t xml:space="preserve">· 조문 원문: </w:t>
      </w:r>
      <w:r>
        <w:rPr>
          <w:b w:val="0"/>
          <w:i w:val="0"/>
          <w:color w:val="333333"/>
          <w:sz w:val="18"/>
        </w:rPr>
        <w:t>제330조(야간주거침입절도) 야간에 사람의 주거, 관리하는 건조물, 선박, 항공기 또는 점유하는 방실(房室)에 침입하여 타인의 재물을 절취(竊取)한 자는 10년 이하의 징역에 처한다.</w:t>
      </w:r>
    </w:p>
    <w:p>
      <w:pPr>
        <w:ind w:left="320"/>
      </w:pPr>
      <w:r>
        <w:rPr>
          <w:b/>
          <w:i w:val="0"/>
          <w:sz w:val="20"/>
        </w:rPr>
        <w:t xml:space="preserve">· 해설: </w:t>
      </w:r>
      <w:r>
        <w:rPr>
          <w:b w:val="0"/>
          <w:i w:val="0"/>
          <w:sz w:val="20"/>
        </w:rPr>
        <w:t>(해설 없음)</w:t>
      </w:r>
    </w:p>
    <w:p>
      <w:r>
        <w:rPr>
          <w:b/>
          <w:i w:val="0"/>
          <w:color w:val="1F3864"/>
          <w:sz w:val="22"/>
        </w:rPr>
        <w:t>▸ 형법 제31조(교사범)</w:t>
      </w:r>
      <w:r>
        <w:t xml:space="preserve">   </w:t>
      </w:r>
      <w:r>
        <w:rPr>
          <w:b/>
          <w:i w:val="0"/>
          <w:color w:val="1A7F37"/>
          <w:sz w:val="18"/>
        </w:rPr>
        <w:t>[✓ 실존]</w:t>
      </w:r>
      <w:r>
        <w:t xml:space="preserve"> </w:t>
      </w:r>
      <w:r>
        <w:rPr>
          <w:b/>
          <w:i w:val="0"/>
          <w:color w:val="666666"/>
          <w:sz w:val="18"/>
        </w:rPr>
        <w:t>[· 내용미확인]</w:t>
      </w:r>
    </w:p>
    <w:p>
      <w:pPr>
        <w:ind w:left="320"/>
      </w:pPr>
      <w:r>
        <w:rPr>
          <w:b/>
          <w:i w:val="0"/>
          <w:sz w:val="18"/>
        </w:rPr>
        <w:t xml:space="preserve">· 조문 원문: </w:t>
      </w:r>
      <w:r>
        <w:rPr>
          <w:b w:val="0"/>
          <w:i w:val="0"/>
          <w:color w:val="333333"/>
          <w:sz w:val="18"/>
        </w:rPr>
        <w:t>제31조(교사범)</w:t>
        <w:br/>
        <w:t>①타인을 교사하여 죄를 범하게 한 자는 죄를 실행한 자와 동일한 형으로 처벌한다.</w:t>
        <w:br/>
        <w:t>②교사를 받은 자가 범죄의 실행을 승낙하고 실행의 착수에 이르지 아니한 때에는 교사자와 피교사자를 음모 또는 예비에 준하여 처벌한다.</w:t>
        <w:br/>
        <w:t>③교사를 받은 자가 범죄의 실행을 승낙하지 아니한 때에도 교사자에 대하여는 전항과 같다.</w:t>
      </w:r>
    </w:p>
    <w:p>
      <w:pPr>
        <w:ind w:left="320"/>
      </w:pPr>
      <w:r>
        <w:rPr>
          <w:b/>
          <w:i w:val="0"/>
          <w:sz w:val="20"/>
        </w:rPr>
        <w:t xml:space="preserve">· 해설: </w:t>
      </w:r>
      <w:r>
        <w:rPr>
          <w:b w:val="0"/>
          <w:i w:val="0"/>
          <w:sz w:val="20"/>
        </w:rPr>
        <w:t>(해설 없음)</w:t>
      </w:r>
    </w:p>
    <w:p>
      <w:pPr>
        <w:pStyle w:val="Heading1"/>
      </w:pPr>
      <w:r>
        <w:t>【결론】</w:t>
      </w:r>
    </w:p>
    <w:p>
      <w:r>
        <w:t>갑과 을은 강도죄로 기소되었으나, 제공된 참고 조문에는 강도죄의 구체적 형량이나 공동정범에 대한 일반 규정이 없어 정확한 처벌 수위를 판단할 수 없습니다. 강도죄의 처벌은 형법 제330 조 등 관련 조문을 통해 결정되며, 공동정범은 형법 제31 조에 따라 모두 정범으로 처벌받게 됩니다. 따라서 본 사안에 대한 정확한 처벌 내용은 추가적인 조문 확인이 필요합니다.</w:t>
      </w:r>
    </w:p>
    <w:p>
      <w:pPr>
        <w:jc w:val="center"/>
      </w:pPr>
      <w:r>
        <w:rPr>
          <w:b w:val="0"/>
          <w:i w:val="0"/>
          <w:color w:val="666666"/>
        </w:rPr>
        <w:t>──────────────────────────────</w:t>
      </w:r>
    </w:p>
    <w:p>
      <w:r>
        <w:rPr>
          <w:b/>
          <w:i w:val="0"/>
          <w:sz w:val="20"/>
        </w:rPr>
        <w:t>인용 검증: 4/4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