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갑과 을은 토지 매매 계약을 체결하였고, 계약서에 을이 해당 토지에 건물을 지을 수 있다는 내용이 포함되어 있었다. 그러나 해당 토지가 법적으로 건축이 금지된 지역임이 밝혀졌다. 이에 따라 갑과 을 사이에 계약의 유효성을 두고 분쟁이 발생하였다. 을은 건축 가능 조항만 무효이고 나머지 계약은 유효하다고 주장하는 반면, 갑은 전체 계약이 무효라고 주장하고 있다.</w:t>
        <w:br/>
        <w:br/>
        <w:t>[질문] 갑과 을의 토지 매매 계약에서 건축 금지 조항이 무효인 경우, 전체 계약이 무효가 되는가?</w:t>
        <w:br/>
        <w:br/>
        <w:t>위 상황에 적용되는 대한민국 법조문을 '법령명 제N조' 형식으로 구체적으로 인용하여 근거와 함께 답하세요.</w:t>
      </w:r>
    </w:p>
    <w:p>
      <w:pPr>
        <w:pStyle w:val="Heading1"/>
      </w:pPr>
      <w:r>
        <w:t>【답변 요지】</w:t>
      </w:r>
    </w:p>
    <w:p>
      <w:r>
        <w:t>건축 금지 지역임에도 건축 가능을 약정한 조항은 법령 위반으로 무효가 되지만, 이로 인해 전체 매매 계약이 무효가 되는지는 계약의 목적이 건축에 전적으로 의존하는지에 따라 달라집니다. 제공된 참고 조문인 건설산업기본법 제22조는 건설공사 도급계약의 불공정 조항 무효에 관한 규정으로, 토지 매매 계약의 부분 무효와 전체 무효 판단에 직접 적용할 수 없습니다. 따라서 제공된 참고 조문 범위 내에서는 해당 사안에 대한 명확한 법적 결론을 도출할 수 없으며, 민법의 계약 해석 원칙이나 법령 위반 시 계약 무효에 관한 일반 규정이 필요합니다.</w:t>
      </w:r>
    </w:p>
    <w:p>
      <w:pPr>
        <w:pStyle w:val="Heading1"/>
      </w:pPr>
      <w:r>
        <w:t>【관련 법령 및 해설】</w:t>
      </w:r>
    </w:p>
    <w:p>
      <w:r>
        <w:rPr>
          <w:b/>
          <w:i w:val="0"/>
          <w:color w:val="1F3864"/>
          <w:sz w:val="22"/>
        </w:rPr>
        <w:t>▸ 건설산업기본법 제22조(건설공사에 관한 도급계약의 원칙)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제22조(건설공사에 관한 도급계약의 원칙)</w:t>
        <w:br/>
        <w:t>① 건설공사에 관한 도급계약(하도급계약을 포함한다. 이하 같다)의 당사자는 대등한 입장에서 합의에 따라 공정하게 계약을 체결하고 신의를 지켜 성실하게 계약을 이행하여야 한다.</w:t>
        <w:br/>
        <w:t>② 건설공사에 관한 도급계약의 당사자는 계약을 체결할 때 도급금액, 공사기간, 그 밖에 대통령령으로 정하는 사항을 계약서에 분명하게 적어야 하고, 서명 또는 기명날인한 계약서를 서로 주고받아 보관하여야 한다.</w:t>
        <w:br/>
        <w:t xml:space="preserve">③ 국토교통부장관은 계약당사자가 대등한 입장에서 공정하게 계약을 체결하도록 하기 위하여 건설공사의 도급 및 건설사업관리위탁에 관한 표준계약서(하도급의 경우는 「하도급거래 공정화에 관한 법률」에 따라 공정거래위원회가 권장하는 건설공사표준하도급계약서를 포함한다. 이하 "표준계약서"라 한다)의 작성 및 사용을 권장하여야 한다.  </w:t>
        <w:br/>
        <w:t xml:space="preserve">④ 건설사업자는 국토교통부령으로 정하는 바에 따라 건설공사에 관한 사항을 건설공사대장에 적어야 한다.  </w:t>
        <w:br/>
        <w:t xml:space="preserve">⑤ 건설공사 도급계약의 내용이 당사자 일방에게 현저하게 불공정한 경우로서 다음 각 호의 어느 하나에 해당하는 경우에는 그 부분에 한정하여 무효로 한다.  </w:t>
        <w:br/>
        <w:t>1.  계약체결 이후 설계변경, 경제상황의 변동에 따라 발생하는 계약금액의 변경을 상당한 이유 없이 인정하지 아니하거나 그 부담을 상대방에게 떠넘기는 경우</w:t>
        <w:br/>
        <w:t>2.  계약체결 이후 공사내용의 변경에 따른 계약기간의 변경을 상당한 이유 없이 인정하지 아니하거나 그 부담을 상대방에게 떠넘기는 경우</w:t>
        <w:br/>
        <w:t>3.  도급계약의 형태, 건설공사의 내용 등 관련된 모든 사정에 비추어 계약체결 당시 예상하기 어려운 내용에 대하여 상대방에게 책임을 떠넘기는 경우</w:t>
        <w:br/>
        <w:t>4.  계약내용에 대하여 구체적인 정함이 없거나 당사자 간 이견이 있을 경우 계약내용을 일방의 의사에 따라 정함으로써 상대방의 정당한 이익을 침해한 경우</w:t>
        <w:br/>
        <w:t>5.  계약불이행에 따른 당사자의 손해배상책임을 과도하게 경감하거나 가중하여 정함으로써 상대방의 정당한 이익을 침해한 경우</w:t>
        <w:br/>
        <w:t>6.  「민법」 등 관계 법령에서 인정하고 있는 상대방의 권리를 상당한 이유 없이 배제하거나 제한하는 경우</w:t>
        <w:br/>
        <w:t xml:space="preserve">⑥ 건설사업자는 대통령령으로 정하는 바에 따라 제4항에 따른 건설공사대장의 기재 사항을 발주자에게 통보하여야 한다.  </w:t>
        <w:br/>
        <w:t xml:space="preserve">⑦ 건설공사 도급계약의 당사자는 「고용보험 및 산업재해보상보험의 보험료징수 등에 관한 법률」에 따른 보험료, 「국민연금법」에 따른 국민연금보험료, 「국민건강보험법」에 따른 건강보험료,  「노인장기요양보험법」에 따른 노인장기요양보험료 등 그 건설공사와 관련하여 건설사업자가 의무적으로 부담하여야 하는 비용의 금액을 대통령령으로 정하는 바에 따라 그 건설공사의 도급금액 산출내역서(하도급금액 산출내역서를 포함한다. 이하 이 항에서 같다)에 분명하게 적어야 한다. 이 경우 그 건설공사의 도급금액 산출내역서에 적힌 금액이 실제로 지출된 보험료 등보다 많은 경우에 그 정산에 관한 사항은 대통령령으로 정한다.  </w:t>
        <w:br/>
        <w:t>⑧ 둘 이상의 건설사업자가 공동으로 국가, 지방자치단체 또는 대통령령으로 정하는 공공기관 외의 자가 발주하는 공사를 도급받기로 발주자와 약정한 후 그 건설사업자 중에서 발주자에게 약정내용의 변경을 요청하는 경우에는 요청일 10일 전까지 그 사유를 다른 건설사업자에게 서면으로 통보하여야 한다.</w:t>
      </w:r>
    </w:p>
    <w:p>
      <w:pPr>
        <w:ind w:left="320"/>
      </w:pPr>
      <w:r>
        <w:rPr>
          <w:b/>
          <w:i w:val="0"/>
          <w:sz w:val="20"/>
        </w:rPr>
        <w:t xml:space="preserve">· 해설: </w:t>
      </w:r>
      <w:r>
        <w:rPr>
          <w:b w:val="0"/>
          <w:i w:val="0"/>
          <w:sz w:val="20"/>
        </w:rPr>
        <w:t>건설공사 도급계약에서 설계 변경이나 경제 상황 변동 등으로 인해 발생하는 부담을 상대방에게 부당하게 떠넘기는 등 현저하게 불공정한 조항은 그 부분에 한정하여 무효로 합니다. 이 조항은 도급계약의 특정 불공정 조항을 무효로 하는 규정이지만, 토지 매매 계약의 유효성 판단이나 부분 무효 시 전체 계약의 효력 문제와는 직접적인 관련이 없습니다.</w:t>
      </w:r>
    </w:p>
    <w:p>
      <w:pPr>
        <w:pStyle w:val="Heading1"/>
      </w:pPr>
      <w:r>
        <w:t>【결론】</w:t>
      </w:r>
    </w:p>
    <w:p>
      <w:r>
        <w:t>제공된 참고 조문인 건설산업기본법 제22조는 건설 도급계약의 불공정 조항 무효를 규정한 것으로, 토지 매매 계약에서 건축 금지 지역임에도 건축 가능을 약정한 경우의 계약 전체 무효 여부를 판단하는 직접적인 근거가 될 수 없습니다. 따라서 현재 제공된 법령 범위 내에서는 갑과 을의 계약이 부분 무효인지 전체 무효인지에 대해 확정적인 결론을 내릴 수 없으며, 민법상 계약의 목적 달성 여부나 법령 위반의 중대성 등을 종합적으로 고려해야 합니다. 실무에서는 해당 계약의 주된 목적이 건축에 있었는지, 건축 불가로 인해 계약 목적을 달성할 수 없는지 등을 확인하여 민법 규정을 적용해야 합니다.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