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법률 질의 답변서</w:t>
      </w:r>
    </w:p>
    <w:p>
      <w:pPr>
        <w:pStyle w:val="Heading1"/>
      </w:pPr>
      <w:r>
        <w:t>【질의 내용】</w:t>
      </w:r>
    </w:p>
    <w:p>
      <w:r>
        <w:t>[상황]</w:t>
        <w:br/>
        <w:t>갑은 지방자치단체의 소속 공무원이고, 을은 지역사회에서 활동하는 인권단체의 대표입니다. 최근 을은 갑의 소속 기관에서 인권침해 사례가 발생하고 있다는 소문을 들었습니다. 이에 을은 국가인권위원회에 진정을 넣으려 했으나, 충분한 증거를 확보하지 못해 주저하고 있었습니다. 하지만 위원회는 이미 독자적으로 조사를 시작하였고, 그 결과 특정 개선 조치를 권고하였습니다. 시간이 지나도 그 권고 사항이 이행되지 않았고, 을은 이에 대해 궁금해졌습니다.</w:t>
        <w:br/>
        <w:br/>
        <w:t>[질문] 을이 진정을 넣지 않았음에도 위원회가 갑의 소속 기관에 대해 직권으로 조사를 시작한 조건은 무엇이며, 만약 위원회의 권고가 이행되지 않을 경우 갑의 소속 기관의 장은 어떻게 해야 하는가?</w:t>
        <w:br/>
        <w:br/>
        <w:t>위 상황에 적용되는 대한민국 법조문을 '법령명 제N조' 형식으로 구체적으로 인용하여 근거와 함께 답하세요.</w:t>
      </w:r>
    </w:p>
    <w:p>
      <w:pPr>
        <w:pStyle w:val="Heading1"/>
      </w:pPr>
      <w:r>
        <w:t>【답변 요지】</w:t>
      </w:r>
    </w:p>
    <w:p>
      <w:r>
        <w:t>국가인권위원회는 피해자나 제3자의 진정 없이도 직권으로 인권침해나 차별행위 조사를 시작할 수 있으나, 제공된 참고 조문에는 이에 대한 구체적인 직권 조사 개시 요건이 명시되어 있지 않습니다. 다만, 위원회가 조사를 마친 결과 인권침해가 인정될 경우 피진정인 소속 기관의 장에게 구제조치 이행이나 제도 개선을 권고할 수 있습니다. 참고 조문에는 권고 불이행 시 소속 기관의 장이 구체적으로 취해야 할 의무나 제재 조항이 포함되어 있지 않습니다. 따라서 제공된 범위 내에서는 직권 조사 요건과 권고 불이행 시의 구체적 조치 의무를 법조문으로 직접 증명할 수 없습니다.</w:t>
      </w:r>
    </w:p>
    <w:p>
      <w:pPr>
        <w:pStyle w:val="Heading1"/>
      </w:pPr>
      <w:r>
        <w:t>【관련 법령 및 해설】</w:t>
      </w:r>
    </w:p>
    <w:p>
      <w:r>
        <w:rPr>
          <w:b/>
          <w:i w:val="0"/>
          <w:color w:val="1F3864"/>
          <w:sz w:val="22"/>
        </w:rPr>
        <w:t>▸ 국가인권위원회법 제30조(위원회의 조사대상)</w:t>
      </w:r>
      <w:r>
        <w:t xml:space="preserve">   </w:t>
      </w:r>
      <w:r>
        <w:rPr>
          <w:b/>
          <w:i w:val="0"/>
          <w:color w:val="1A7F37"/>
          <w:sz w:val="18"/>
        </w:rPr>
        <w:t>[✓ 실존]</w:t>
      </w:r>
      <w:r>
        <w:t xml:space="preserve"> </w:t>
      </w:r>
      <w:r>
        <w:rPr>
          <w:b/>
          <w:i w:val="0"/>
          <w:color w:val="1A7F37"/>
          <w:sz w:val="18"/>
        </w:rPr>
        <w:t>[✓ 내용일치]</w:t>
      </w:r>
    </w:p>
    <w:p>
      <w:pPr>
        <w:ind w:left="320"/>
      </w:pPr>
      <w:r>
        <w:rPr>
          <w:b/>
          <w:i w:val="0"/>
          <w:sz w:val="18"/>
        </w:rPr>
        <w:t xml:space="preserve">· 조문 원문: </w:t>
      </w:r>
      <w:r>
        <w:rPr>
          <w:b w:val="0"/>
          <w:i w:val="0"/>
          <w:color w:val="333333"/>
          <w:sz w:val="18"/>
        </w:rPr>
        <w:t>제30조(위원회의 조사대상)</w:t>
        <w:br/>
        <w:t xml:space="preserve">① 다음 각 호의 어느 하나에 해당하는 경우에 인권침해나 차별행위를 당한 사람(이하 "피해자"라 한다) 또는 그 사실을 알고 있는 사람이나 단체는 위원회에 그 내용을 진정할 수 있다.  </w:t>
        <w:br/>
        <w:t>1.  국가기관, 지방자치단체, 「초ㆍ중등교육법」 제2조, 「고등교육법」 제2조와 그 밖의 다른 법률에 따라 설치된 각급 학교, 「공직자윤리법」 제3조의2제1항에 따른 공직유관단체 또는 구금ㆍ보호시설의 업무 수행(국회의 입법 및 법원ㆍ헌법재판소의 재판은 제외한다)과 관련하여 「대한민국헌법」 제10조부터 제22조까지의 규정에서 보장된 인권을 침해당하거나 차별행위를 당한 경우</w:t>
        <w:br/>
        <w:t>2.  법인, 단체 또는 사인(私人)으로부터 차별행위를 당한 경우</w:t>
        <w:br/>
        <w:t xml:space="preserve">② 삭제  </w:t>
        <w:br/>
        <w:t xml:space="preserve">③ 위원회는 제1항의 진정이 없는 경우에도 인권침해나 차별행위가 있다고 믿을 만한 상당한 근거가 있고 그 내용이 중대하다고 인정할 때에는 직권으로 조사할 수 있다.  </w:t>
        <w:br/>
        <w:t>④ 제1항에 따른 진정의 절차와 방법에 관하여 필요한 사항은 위원회 규칙으로 정한다.</w:t>
      </w:r>
    </w:p>
    <w:p>
      <w:pPr>
        <w:ind w:left="320"/>
      </w:pPr>
      <w:r>
        <w:rPr>
          <w:b/>
          <w:i w:val="0"/>
          <w:sz w:val="20"/>
        </w:rPr>
        <w:t xml:space="preserve">· 해설: </w:t>
      </w:r>
      <w:r>
        <w:rPr>
          <w:b w:val="0"/>
          <w:i w:val="0"/>
          <w:sz w:val="20"/>
        </w:rPr>
        <w:t>이 조문은 국가기관이나 지방자치단체의 업무 수행과 관련하여 인권을 침해당하거나 차별을 당한 피해자나 이를 알고 있는 사람이 위원회에 진정할 수 있는 사유와 절차를 규정합니다.</w:t>
      </w:r>
    </w:p>
    <w:p>
      <w:r>
        <w:rPr>
          <w:b/>
          <w:i w:val="0"/>
          <w:color w:val="1F3864"/>
          <w:sz w:val="22"/>
        </w:rPr>
        <w:t>▸ 국가인권위원회법 제44조(구제조치 등의 권고)</w:t>
      </w:r>
      <w:r>
        <w:t xml:space="preserve">   </w:t>
      </w:r>
      <w:r>
        <w:rPr>
          <w:b/>
          <w:i w:val="0"/>
          <w:color w:val="1A7F37"/>
          <w:sz w:val="18"/>
        </w:rPr>
        <w:t>[✓ 실존]</w:t>
      </w:r>
      <w:r>
        <w:t xml:space="preserve"> </w:t>
      </w:r>
      <w:r>
        <w:rPr>
          <w:b/>
          <w:i w:val="0"/>
          <w:color w:val="1A7F37"/>
          <w:sz w:val="18"/>
        </w:rPr>
        <w:t>[✓ 내용일치]</w:t>
      </w:r>
    </w:p>
    <w:p>
      <w:pPr>
        <w:ind w:left="320"/>
      </w:pPr>
      <w:r>
        <w:rPr>
          <w:b/>
          <w:i w:val="0"/>
          <w:sz w:val="18"/>
        </w:rPr>
        <w:t xml:space="preserve">· 조문 원문: </w:t>
      </w:r>
      <w:r>
        <w:rPr>
          <w:b w:val="0"/>
          <w:i w:val="0"/>
          <w:color w:val="333333"/>
          <w:sz w:val="18"/>
        </w:rPr>
        <w:t>제44조(구제조치 등의 권고)</w:t>
        <w:br/>
        <w:t xml:space="preserve">① 위원회가 진정을 조사한 결과 인권침해나 차별행위가 일어났다고 판단할 때에는 피진정인, 그 소속 기관ㆍ단체 또는 감독기관(이하 "소속기관등"이라 한다)의 장에게 다음 각 호의 사항을 권고할 수 있다.  </w:t>
        <w:br/>
        <w:t>1.  제42조제4항 각 호에서 정하는 구제조치의 이행</w:t>
        <w:br/>
        <w:t>2.  법령ㆍ제도ㆍ정책ㆍ관행의 시정 또는 개선</w:t>
        <w:br/>
        <w:t>② 제1항에 따라 권고를 받은 소속기관등의 장에 관하여는 제25조제2항부터 제6항까지를 준용한다.</w:t>
      </w:r>
    </w:p>
    <w:p>
      <w:pPr>
        <w:ind w:left="320"/>
      </w:pPr>
      <w:r>
        <w:rPr>
          <w:b/>
          <w:i w:val="0"/>
          <w:sz w:val="20"/>
        </w:rPr>
        <w:t xml:space="preserve">· 해설: </w:t>
      </w:r>
      <w:r>
        <w:rPr>
          <w:b w:val="0"/>
          <w:i w:val="0"/>
          <w:sz w:val="20"/>
        </w:rPr>
        <w:t>위원회가 진정 조사 결과 인권침해나 차별행위가 발생했다고 판단할 때 피진정인 소속 기관의 장에게 구제조치 이행이나 법령·제도·정책·관행의 시정 및 개선을 권고할 수 있음을 명시합니다.</w:t>
      </w:r>
    </w:p>
    <w:p>
      <w:r>
        <w:rPr>
          <w:b/>
          <w:i w:val="0"/>
          <w:color w:val="1F3864"/>
          <w:sz w:val="22"/>
        </w:rPr>
        <w:t>▸ 국가인권위원회법 제33조(다른 구제 절차와 이송)</w:t>
      </w:r>
      <w:r>
        <w:t xml:space="preserve">   </w:t>
      </w:r>
      <w:r>
        <w:rPr>
          <w:b/>
          <w:i w:val="0"/>
          <w:color w:val="1A7F37"/>
          <w:sz w:val="18"/>
        </w:rPr>
        <w:t>[✓ 실존]</w:t>
      </w:r>
      <w:r>
        <w:t xml:space="preserve"> </w:t>
      </w:r>
      <w:r>
        <w:rPr>
          <w:b/>
          <w:i w:val="0"/>
          <w:color w:val="1A7F37"/>
          <w:sz w:val="18"/>
        </w:rPr>
        <w:t>[✓ 내용일치]</w:t>
      </w:r>
    </w:p>
    <w:p>
      <w:pPr>
        <w:ind w:left="320"/>
      </w:pPr>
      <w:r>
        <w:rPr>
          <w:b/>
          <w:i w:val="0"/>
          <w:sz w:val="18"/>
        </w:rPr>
        <w:t xml:space="preserve">· 조문 원문: </w:t>
      </w:r>
      <w:r>
        <w:rPr>
          <w:b w:val="0"/>
          <w:i w:val="0"/>
          <w:color w:val="333333"/>
          <w:sz w:val="18"/>
        </w:rPr>
        <w:t>제33조(다른 구제 절차와 이송)</w:t>
        <w:br/>
        <w:t>① 진정의 내용이 다른 법률에서 정한 권리구제 절차에 따라 권한을 가진 국가기관에 제출하려는 것이 명백한 경우 위원회는 지체 없이 그 진정을 그 국가기관으로 이송하여야 한다.</w:t>
        <w:br/>
        <w:t>② 위원회가 제30조제1항에 따라 진정에 대한 조사를 시작한 후에 진정의 원인이 된 사실과 같은 사안에 관한 수사가 피해자의 진정 또는 고소에 의하여 시작된 경우에는 그 진정을 관할 수사기관으로 이송하여야 한다.</w:t>
        <w:br/>
        <w:t>③ 제1항과 제2항에 따라 위원회가 진정을 이송한 경우 지체 없이 그 내용을 진정인에게 통지하여야 하며, 이송받은 기관은 위원회가 요청하는 경우 그 진정에 대한 처리 결과를 위원회에 통지하여야 한다.</w:t>
      </w:r>
    </w:p>
    <w:p>
      <w:pPr>
        <w:ind w:left="320"/>
      </w:pPr>
      <w:r>
        <w:rPr>
          <w:b/>
          <w:i w:val="0"/>
          <w:sz w:val="20"/>
        </w:rPr>
        <w:t xml:space="preserve">· 해설: </w:t>
      </w:r>
      <w:r>
        <w:rPr>
          <w:b w:val="0"/>
          <w:i w:val="0"/>
          <w:sz w:val="20"/>
        </w:rPr>
        <w:t>위원회가 진정 조사를 시작한 후 같은 사안에 관해 수사기관에서 수사가 시작되면 해당 진정을 수사기관으로 이송해야 하는 절차를 규정합니다.</w:t>
      </w:r>
    </w:p>
    <w:p>
      <w:r>
        <w:rPr>
          <w:b/>
          <w:i w:val="0"/>
          <w:color w:val="1F3864"/>
          <w:sz w:val="22"/>
        </w:rPr>
        <w:t>▸ (미지정) 제31조</w:t>
      </w:r>
      <w:r>
        <w:t xml:space="preserve">   </w:t>
      </w:r>
      <w:r>
        <w:rPr>
          <w:b/>
          <w:i w:val="0"/>
          <w:color w:val="666666"/>
          <w:sz w:val="18"/>
        </w:rPr>
        <w:t>[⚠ 확인필요]</w:t>
      </w:r>
      <w:r>
        <w:t xml:space="preserve"> </w:t>
      </w:r>
      <w:r>
        <w:rPr>
          <w:b/>
          <w:i w:val="0"/>
          <w:color w:val="666666"/>
          <w:sz w:val="18"/>
        </w:rPr>
        <w:t>[—]</w:t>
      </w:r>
    </w:p>
    <w:p>
      <w:pPr>
        <w:ind w:left="320"/>
      </w:pPr>
      <w:r>
        <w:rPr>
          <w:b/>
          <w:i w:val="0"/>
          <w:sz w:val="18"/>
        </w:rPr>
        <w:t xml:space="preserve">· 조문 원문: </w:t>
      </w:r>
      <w:r>
        <w:rPr>
          <w:b w:val="0"/>
          <w:i w:val="0"/>
          <w:color w:val="333333"/>
          <w:sz w:val="18"/>
        </w:rPr>
        <w:t>(법제처 확인 불가 — 법령명·항 재확인 필요)</w:t>
      </w:r>
    </w:p>
    <w:p>
      <w:pPr>
        <w:ind w:left="320"/>
      </w:pPr>
      <w:r>
        <w:rPr>
          <w:b/>
          <w:i w:val="0"/>
          <w:sz w:val="20"/>
        </w:rPr>
        <w:t xml:space="preserve">· 해설: </w:t>
      </w:r>
      <w:r>
        <w:rPr>
          <w:b w:val="0"/>
          <w:i w:val="0"/>
          <w:sz w:val="20"/>
        </w:rPr>
        <w:t>(해설 없음)</w:t>
      </w:r>
    </w:p>
    <w:p>
      <w:r>
        <w:rPr>
          <w:b/>
          <w:i w:val="0"/>
          <w:color w:val="1F3864"/>
          <w:sz w:val="22"/>
        </w:rPr>
        <w:t>▸ (미지정) 제45조</w:t>
      </w:r>
      <w:r>
        <w:t xml:space="preserve">   </w:t>
      </w:r>
      <w:r>
        <w:rPr>
          <w:b/>
          <w:i w:val="0"/>
          <w:color w:val="666666"/>
          <w:sz w:val="18"/>
        </w:rPr>
        <w:t>[⚠ 확인필요]</w:t>
      </w:r>
      <w:r>
        <w:t xml:space="preserve"> </w:t>
      </w:r>
      <w:r>
        <w:rPr>
          <w:b/>
          <w:i w:val="0"/>
          <w:color w:val="666666"/>
          <w:sz w:val="18"/>
        </w:rPr>
        <w:t>[—]</w:t>
      </w:r>
    </w:p>
    <w:p>
      <w:pPr>
        <w:ind w:left="320"/>
      </w:pPr>
      <w:r>
        <w:rPr>
          <w:b/>
          <w:i w:val="0"/>
          <w:sz w:val="18"/>
        </w:rPr>
        <w:t xml:space="preserve">· 조문 원문: </w:t>
      </w:r>
      <w:r>
        <w:rPr>
          <w:b w:val="0"/>
          <w:i w:val="0"/>
          <w:color w:val="333333"/>
          <w:sz w:val="18"/>
        </w:rPr>
        <w:t>(법제처 확인 불가 — 법령명·항 재확인 필요)</w:t>
      </w:r>
    </w:p>
    <w:p>
      <w:pPr>
        <w:ind w:left="320"/>
      </w:pPr>
      <w:r>
        <w:rPr>
          <w:b/>
          <w:i w:val="0"/>
          <w:sz w:val="20"/>
        </w:rPr>
        <w:t xml:space="preserve">· 해설: </w:t>
      </w:r>
      <w:r>
        <w:rPr>
          <w:b w:val="0"/>
          <w:i w:val="0"/>
          <w:sz w:val="20"/>
        </w:rPr>
        <w:t>(해설 없음)</w:t>
      </w:r>
    </w:p>
    <w:p>
      <w:pPr>
        <w:pStyle w:val="Heading1"/>
      </w:pPr>
      <w:r>
        <w:t>【결론】</w:t>
      </w:r>
    </w:p>
    <w:p>
      <w:r>
        <w:t>제공된 참고 조문에는 위원회가 진정 없이 직권으로 조사를 시작할 수 있는 구체적 요건이나 권고 불이행 시 소속 기관의 장이 반드시 이행해야 할 구체적 의무 조항이 포함되어 있지 않습니다. 따라서 현재 주어진 법조문 범위 내에서는 직권 조사 개시 조건과 권고 불이행 시의 구체적 대응 의무를 법적으로 확정하여 답변할 수 없습니다. 실무적으로는 국가인권위원회법 전체를 검토하여 직권 조사 근거(예: 제 31 조 등)와 권고 불이행 시의 후속 조치(예: 제 45 조 등)를 확인해야 합니다.</w:t>
      </w:r>
    </w:p>
    <w:p>
      <w:pPr>
        <w:jc w:val="center"/>
      </w:pPr>
      <w:r>
        <w:rPr>
          <w:b w:val="0"/>
          <w:i w:val="0"/>
          <w:color w:val="666666"/>
        </w:rPr>
        <w:t>──────────────────────────────</w:t>
      </w:r>
    </w:p>
    <w:p>
      <w:r>
        <w:rPr>
          <w:b/>
          <w:i w:val="0"/>
          <w:sz w:val="20"/>
        </w:rPr>
        <w:t>인용 검증: 3/5 법제처 확인  |  내용 일치: 3/3  |  환각: 0건</w:t>
      </w:r>
    </w:p>
    <w:p>
      <w:r>
        <w:rPr>
          <w:b w:val="0"/>
          <w:i w:val="0"/>
          <w:color w:val="666666"/>
          <w:sz w:val="18"/>
        </w:rPr>
        <w:t>자율 수정: 0회  |  생성: Qwen3.5-27B · 교차검증: DeepSeek-R1-Distill-Qwen-32B (온프레미스)</w:t>
      </w:r>
    </w:p>
    <w:p>
      <w:r>
        <w:rPr>
          <w:b w:val="0"/>
          <w:i w:val="0"/>
          <w:color w:val="666666"/>
          <w:sz w:val="18"/>
        </w:rPr>
        <w:t>문서 생성: 2026-07-14  |  법제처 국가법령정보 Open API 근거 기반 자동 검증</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