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화물자동차 운송사업을 운영하는 사업자로, 최근 사업 확장을 위해 기존 허가사항을 변경하려고 한다. 동시에, 을이라는 다른 운송사업자는 최근 유류 가격이 급등하면서 사업 운영에 어려움을 겪고 있다. 이로 인해 을은 유류비 증가에 대한 재정 지원을 신청하고자 한다.</w:t>
        <w:br/>
        <w:br/>
        <w:t>[질문] 갑이 화물자동차 운송사업의 허가사항을 변경하려면 어떤 절차를 따라야 하며, 을에게 유류비 증가에 대한 재정 지원을 제공할 수 있는 주체는 누구인가?</w:t>
        <w:br/>
        <w:br/>
        <w:t>위 상황에 적용되는 대한민국 법조문을 '법령명 제N조' 형식으로 구체적으로 인용하여 근거와 함께 답하세요.</w:t>
      </w:r>
    </w:p>
    <w:p>
      <w:pPr>
        <w:pStyle w:val="Heading1"/>
      </w:pPr>
      <w:r>
        <w:t>【답변 요지】</w:t>
      </w:r>
    </w:p>
    <w:p>
      <w:r>
        <w:t>갑이 화물자동차 운송사업의 허가사항을 변경하려면 변경의 내용에 따라 국토교통부장관의 변경허가를 받거나 신고를 해야 합니다. 다만, 개선명령 불이행이나 최근 감차 조치 명령을 받은 경우에는 증차를 수반하는 변경이 불가능합니다. 을의 유류비 증가에 대한 재정 지원 주체는 제공된 참고 조문 범위 내에서 확인할 수 있는 법적 근거가 없습니다.</w:t>
      </w:r>
    </w:p>
    <w:p>
      <w:pPr>
        <w:pStyle w:val="Heading1"/>
      </w:pPr>
      <w:r>
        <w:t>【관련 법령 및 해설】</w:t>
      </w:r>
    </w:p>
    <w:p>
      <w:r>
        <w:rPr>
          <w:b/>
          <w:i w:val="0"/>
          <w:color w:val="1F3864"/>
          <w:sz w:val="22"/>
        </w:rPr>
        <w:t>▸ 화물자동차 운수사업법 제3조(화물자동차 운송사업의 허가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제3조(화물자동차 운송사업의 허가 등)</w:t>
        <w:br/>
        <w:t xml:space="preserve">① 화물자동차 운송사업을 경영하려는 자는 각 호의 구분에 따라 국토교통부장관의 허가를 받아야 한다.  </w:t>
        <w:br/>
        <w:t>1.  일반화물자동차 운송사업: 20대 이상의 범위에서 대통령령으로 정하는 대수 이상의 화물자동차를 사용하여 화물을 운송하는 사업</w:t>
        <w:br/>
        <w:t>2.  개인화물자동차 운송사업: 화물자동차 1대를 사용하여 화물을 운송하는 사업으로서 대통령령으로 정하는 사업</w:t>
        <w:br/>
        <w:t>② 제29조제1항에 따라 화물자동차 운송가맹사업의 허가를 받은 자는 제1항에 따른 허가를 받지 아니한다.</w:t>
        <w:br/>
        <w:t xml:space="preserve">③ 제1항에 따라 화물자동차 운송사업의 허가를 받은 자(이하 "운송사업자"라 한다)가 허가사항을 변경하려면 국토교통부령으로 정하는 바에 따라 국토교통부장관의 변경허가를 받아야 한다. 다만, 대통령령으로 정하는 경미한 사항을 변경하려면 국토교통부령으로 정하는 바에 따라 국토교통부장관에게 신고하여야 한다.  </w:t>
        <w:br/>
        <w:t xml:space="preserve">④ 국토교통부장관은 제3항 단서에 따른 변경신고를 받은 날부터 3일 이내에 신고수리 여부를 신고인에게 통지하여야 한다.  </w:t>
        <w:br/>
        <w:t xml:space="preserve">⑤ 국토교통부장관이 제4항에서 정한 기간 내에 신고수리 여부 또는 민원 처리 관련 법령에 따른 처리기간의 연장 여부를 신고인에게 통지하지 아니하면 그 기간이 끝난 날의 다음 날에 신고를 수리한 것으로 본다.  </w:t>
        <w:br/>
        <w:t xml:space="preserve">⑥ 제1항에 따른 허가의 신청방법 및 절차 등에 필요한 사항은 국토교통부령으로 정한다.  </w:t>
        <w:br/>
        <w:t xml:space="preserve">⑦ 제1항 및 제3항 본문에 따른 화물자동차 운송사업의 허가 또는 증차(增車)를 수반하는 변경허가의 기준은 다음 각 호와 같다.  </w:t>
        <w:br/>
        <w:t>1.  국토교통부장관이 화물의 운송 수요를 고려하여 제6항에 따라 업종별로 고시하는 공급기준에 맞을 것. 다만, 다음 각 목의 어느 하나에 해당하는 경우는 제외한다.</w:t>
        <w:br/>
        <w:t>2.  화물자동차의 대수, 차고지 등 운송시설(이하 "운송시설"이라 한다), 그 밖에 국토교통부령으로 정하는 기준에 맞을 것</w:t>
        <w:br/>
        <w:t xml:space="preserve">⑧ 운송사업자는 다음 각 호의 어느 하나에 해당하면 증차를 수반하는 허가사항을 변경할 수 없다.  </w:t>
        <w:br/>
        <w:t>1.  제13조에 따른 개선명령을 받고 이를 이행하지 아니한 경우</w:t>
        <w:br/>
        <w:t>2.  제19조제1항에 따른 감차(減車) 조치 명령을 받은 후 1년이 지나지 아니한 경우</w:t>
        <w:br/>
        <w:t xml:space="preserve">⑨ 운송사업자는 제1항에 따라 허가받은 날부터 5년의 범위에서 대통령령으로 정하는 기간마다 국토교통부령으로 정하는 바에 따라 제5항에 따른 허가기준에 관한 사항을 국토교통부장관에게 신고하여야 한다.  </w:t>
        <w:br/>
        <w:t xml:space="preserve">⑩ 제9항에 따른 신고가 신고서의 기재사항 및 첨부서류에 흠이 없고, 법령 등에 규정된 형식상의 요건을 충족하는 경우에는 신고서가 접수기관에 도달된 때에 신고 의무가 이행된 것으로 본다.  </w:t>
        <w:br/>
        <w:t xml:space="preserve">⑪ 운송사업자는 주사무소 외의 장소에서 상주(常住)하여 영업하려면 국토교통부령으로 정하는 바에 따라 국토교통부장관의 허가를 받아 영업소를 설치하여야 한다. 다만, 개인 운송사업자의 경우에는 그러하지 아니하다.  </w:t>
        <w:br/>
        <w:t xml:space="preserve">⑫ 국토교통부장관은 제40조의3제3항에 따라 해지된 위ㆍ수탁계약의 위ㆍ수탁차주였던 자가 허가취소 또는 감차 조치가 있는 날부터 3개월 내에 제1항에 따른 허가를 신청하는 경우 6개월 이내로 기간을 한정하여 허가(이하 "임시허가"라 한다)를 할 수 있다. 다만, 운송사업자의 허가취소 또는 감차 조치의 사유와 직접 관련이 있는 화물자동차의 위ㆍ수탁차주였던 자는 제외한다.  </w:t>
        <w:br/>
        <w:t xml:space="preserve">⑬ 제12항에 따라 임시허가를 받은 자가 허가 기간 내에 다른 운송사업자와 위ㆍ수탁계약을 체결하지 못하고 임시허가 기간이 만료된 경우 3개월 내에 제1항에 따른 허가를 신청할 수 있다.  </w:t>
        <w:br/>
        <w:t xml:space="preserve">⑭ 국토교통부장관은 화물자동차 운수사업의 질서를 확립하기 위하여 화물자동차 운송사업의 허가 또는 증차를 수반하는 변경허가에 조건 또는 기한을 붙일 수 있다.  </w:t>
        <w:br/>
        <w:t>⑮ 국토교통부장관은 운송사업자가 사업정지처분을 받은 경우에는 주사무소를 이전하는 변경허가를 하여서는 아니 된다.</w:t>
      </w:r>
    </w:p>
    <w:p>
      <w:pPr>
        <w:ind w:left="320"/>
      </w:pPr>
      <w:r>
        <w:rPr>
          <w:b/>
          <w:i w:val="0"/>
          <w:sz w:val="20"/>
        </w:rPr>
        <w:t xml:space="preserve">· 해설: </w:t>
      </w:r>
      <w:r>
        <w:rPr>
          <w:b w:val="0"/>
          <w:i w:val="0"/>
          <w:sz w:val="20"/>
        </w:rPr>
        <w:t>허가사항 변경 시 국토교통부장관의 변경허가를 받아야 하며, 경미한 사항만은 신고로 처리할 수 있습니다.</w:t>
      </w:r>
    </w:p>
    <w:p>
      <w:pPr>
        <w:pStyle w:val="Heading1"/>
      </w:pPr>
      <w:r>
        <w:t>【결론】</w:t>
      </w:r>
    </w:p>
    <w:p>
      <w:r>
        <w:t>갑은 변경하려는 사항이 경미한지 여부에 따라 허가 또는 신고 절차를 밟아야 하며, 특정 제재 사항이 있으면 증차 변경이 제한됩니다. 을의 유류비 지원 문제는 주어진 참고 조문에는 관련 규정이 없어 해당 법령만으로는 지원 주체를 특정할 수 없습니다. 실무에서는 유류비 지원과 관련된 별도의 법령이나 고시를 추가로 확인해야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