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갑의 소유지 일부가 지역 개발 사업으로 인하여 강제 수용되었다. 갑은 해당 절차가 부당하다고 생각하여 행정 소송을 통해 위 강제수용의 취소를 구하고자 한다. 한편 갑은 이 소송이 진행되는 동안 개발 사업이 진행되어 자신에게  회복하기 어려운 손해가 발생할 것을 우려하여 집행정지도 함께 신청하였다.</w:t>
        <w:br/>
        <w:br/>
        <w:t>[질문] 갑에게 지역 개발 사업에 대한 강제 수용 절차에 대하여 취소소송을 제기할 수 있는 자격이 있는가? 그리고 취소 소송이 제기된 경우에 집행정지가 인정될 수 있는 요건은 무엇인가?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갑은 강제 수용 처분의 상대방으로서 취소소송을 제기할 자격이 있습니다. 다만, 행정소송법 제 9 조에 따라 해당 부동산 소재지를 관할하는 행정법원에 소를 제기해야 합니다. 공익사업을 위한 토지 등의 취득 및 보상에 관한 법률 제 88 조에 따르면, 소송 제기 자체로는 사업 진행이나 수용이 정지되지 않습니다. 따라서 집행정지를 구하려면 별도의 집행정지 신청을 통해 회복하기 어려운 손해 발생 등 요건을 입증해야 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행정소송법 제9조(재판관할)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제9조(재판관할)</w:t>
        <w:br/>
        <w:t xml:space="preserve">①취소소송의 제1심관할법원은 피고의 소재지를 관할하는 행정법원으로 한다.  </w:t>
        <w:br/>
        <w:t xml:space="preserve">② 제1항에도 불구하고 다음 각 호의 어느 하나에 해당하는 피고에 대하여 취소소송을 제기하는 경우에는 대법원소재지를 관할하는 행정법원에 제기할 수 있다.  </w:t>
        <w:br/>
        <w:t>1.  중앙행정기관, 중앙행정기관의 부속기관과 합의제행정기관 또는 그 장</w:t>
        <w:br/>
        <w:t>2.  국가의 사무를 위임 또는 위탁받은 공공단체 또는 그 장</w:t>
        <w:br/>
        <w:t>③토지의 수용 기타 부동산 또는 특정의 장소에 관계되는 처분등에 대한 취소소송은 그 부동산 또는 장소의 소재지를 관할하는 행정법원에 이를 제기할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토지 수용 처분에 대한 취소소송은 해당 부동산 소재지를 관할하는 행정법원에 제기할 수 있습니다. 이 조문은 갑이 소유지 소재지 관할 법원에 소를 제기할 수 있는 근거가 됩니다.</w:t>
      </w:r>
    </w:p>
    <w:p>
      <w:r>
        <w:rPr>
          <w:b/>
          <w:i w:val="0"/>
          <w:color w:val="1F3864"/>
          <w:sz w:val="22"/>
        </w:rPr>
        <w:t>▸ 공익사업을 위한 토지 등의 취득 및 보상에 관한 법률 제88조(처분효력의 부정지)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제88조(처분효력의 부정지) 제83조에 따른 이의의 신청이나 제85조에 따른 행정소송의 제기는 사업의 진행 및 토지의 수용 또는 사용을 정지시키지 아니한다.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이의 신청이나 행정소송 제기만으로는 사업 진행 및 토지 수용이 정지되지 않습니다. 이는 갑이 소송을 제기했더라도 별도의 집행정지 결정이 없으면 사업이 계속될 수 있음을 의미합니다.</w:t>
      </w:r>
    </w:p>
    <w:p>
      <w:pPr>
        <w:pStyle w:val="Heading1"/>
      </w:pPr>
      <w:r>
        <w:t>【결론】</w:t>
      </w:r>
    </w:p>
    <w:p>
      <w:r>
        <w:t>갑은 취소소송 제기 자격이 있으나, 소송 제기만으로는 사업 정지 효과가 발생하지 않으므로 별도의 집행정지 신청이 필수적입니다. 집행정지 인정 여부는 소송 진행 중 갑에게 회복하기 어려운 손해가 발생할지 여부에 따라 판단됩니다. 실무에서는 소송 제기 즉시 집행정지 신청을 병행하여 손해 발생 위험을 차단해야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