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회사 직원인 갑은 회사의 내부 컴퓨터 시스템에 허위의 매출 정보를 입력하고, 부정한 명령을 실행하여 회사 자금 수천만 원을 자신의 계좌로 송금하려 했다. 이는 전산처리를 통한 회사 자금 탈취를 목적으로 한 것이었다. 다만 송금 절차 도중 시스템 오류로 인해 실제 자금 이전은 이루어지지 않았고, 범행은 미수에 그쳤다. 이후 내부 감사로 해당 행위가 적발되자 검찰은 갑의 행위에 대해 수사를 개시했다.</w:t>
        <w:br/>
        <w:br/>
        <w:t>[질문] 만약 갑의 컴퓨터 입력 행위로 실제로 자금이 송금되어 이익을 취득했을 경우, 어떤 처벌을 받을 수 있는가? 갑처럼 이익을 실제로 취득하지 못한 경우에도 처벌이 가능한가? 이 때의 시효는 언제부터 진행되는가?</w:t>
        <w:br/>
        <w:br/>
        <w:t>위 상황에 적용되는 대한민국 법조문을 '법령명 제N조' 형식으로 구체적으로 인용하여 근거와 함께 답하세요.</w:t>
      </w:r>
    </w:p>
    <w:p>
      <w:pPr>
        <w:pStyle w:val="Heading1"/>
      </w:pPr>
      <w:r>
        <w:t>【답변 요지】</w:t>
      </w:r>
    </w:p>
    <w:p>
      <w:r>
        <w:t>갑의 행위는 컴퓨터에 허위 정보를 입력하여 재산상 이익을 취득하려는 시도로, 형법 제347조의2(컴퓨터등 사용사기)에 해당합니다. 실제 자금이 송금되어 이익을 취득한 경우 10년 이하의 징역 또는 2천만원 이하의 벌금에 처해지며, 미수범인 경우에도 처벌이 가능합니다. 이 경우 형사소송법상 공소시효는 범죄가 종료된 날로부터 진행되므로, 미수범의 경우 범행이 실패한 시점부터 시효가 시작됩니다.</w:t>
      </w:r>
    </w:p>
    <w:p>
      <w:pPr>
        <w:pStyle w:val="Heading1"/>
      </w:pPr>
      <w:r>
        <w:t>【관련 법령 및 해설】</w:t>
      </w:r>
    </w:p>
    <w:p>
      <w:r>
        <w:rPr>
          <w:b/>
          <w:i w:val="0"/>
          <w:color w:val="1F3864"/>
          <w:sz w:val="22"/>
        </w:rPr>
        <w:t>▸ 형법 제347조의2(컴퓨터등 사용사기)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제347조의2(컴퓨터등 사용사기) 컴퓨터등 정보처리장치에 허위의 정보 또는 부정한 명령을 입력하거나 권한 없이 정보를 입력ㆍ변경하여 정보처리를 하게 함으로써 재산상의 이익을 취득하거나 제3자로 하여금 취득하게 한 자는 20년 이하의 징역 또는 5천만원 이하의 벌금에 처한다.</w:t>
      </w:r>
    </w:p>
    <w:p>
      <w:pPr>
        <w:ind w:left="320"/>
      </w:pPr>
      <w:r>
        <w:rPr>
          <w:b/>
          <w:i w:val="0"/>
          <w:sz w:val="20"/>
        </w:rPr>
        <w:t xml:space="preserve">· 해설: </w:t>
      </w:r>
      <w:r>
        <w:rPr>
          <w:b w:val="0"/>
          <w:i w:val="0"/>
          <w:sz w:val="20"/>
        </w:rPr>
        <w:t>컴퓨터등 정보처리장치에 허위의 정보 또는 부정한 명령을 입력하거나 권한 없이 정보를 입력·변경하여 정보처리를 하게 함으로써 재산상의 이익을 취득하거나 제3자로 하여금 취득하게 한 자는 10년 이하의 징역 또는 2천만원 이하의 벌금에 처한다. 이 조항은 전산 시스템을 악용하여 재산을 탈취하는 행위를 사기죄의 일종으로 규정하고 있으며, 실제 취득 여부와 관계없이 행위가 성립하면 처벌 대상이 됩니다. 미수범에 대해서는 형법 일반 규정에 따라 처벌할 수 있으며, 시효는 범죄가 종료된 날로부터 진행됩니다.</w:t>
      </w:r>
    </w:p>
    <w:p>
      <w:pPr>
        <w:pStyle w:val="Heading1"/>
      </w:pPr>
      <w:r>
        <w:t>【결론】</w:t>
      </w:r>
    </w:p>
    <w:p>
      <w:r>
        <w:t>갑이 실제로 자금을 취득했다면 형법 제347조의2에 따라 10년 이하의 징역 또는 2천만원 이하의 벌금형에 처해질 수 있습니다. 실제 취득이 없더라도 미수범으로 처벌 가능하며, 시효는 범행이 실패한 날로부터 진행됩니다. 따라서 검찰은 미수범으로 기소할 수 있으며, 시효 기간 내 적법한 수사와 공소를 진행해야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