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XYZ 주식회사는 상장회사로, 대표이사 갑은 주요주주인 을에게 이사회의 사전 승인 없이 10억 원 규모의 신용공여를 단독으로 결정하고 집행하였다. 이 사실이 사후에 내부 감사를 통해 드러나자, 회사는 해당 거래가 적법하게 이루어진 것인지, 회사 자체에 대한 법적 책임이 발생할 가능성이 있는지 내부적으로 검토를 시작했다.</w:t>
        <w:br/>
        <w:br/>
        <w:t>[질문] 상장회사인 XYZ 주식회사의 대표이사 갑이 주요주주 을에게 이사회 승인 없이 신용공여를 한 경우, 갑의 행위는 어떤 법적 책임을 수반하는가? XYZ 회사 자체에도 형사처벌 가능성이 있는가?</w:t>
        <w:br/>
        <w:br/>
        <w:t>위 상황에 적용되는 대한민국 법조문을 '법령명 제N조' 형식으로 구체적으로 인용하여 근거와 함께 답하세요.</w:t>
      </w:r>
    </w:p>
    <w:p>
      <w:pPr>
        <w:pStyle w:val="Heading1"/>
      </w:pPr>
      <w:r>
        <w:t>【답변 요지】</w:t>
      </w:r>
    </w:p>
    <w:p>
      <w:r>
        <w:t>상장회사 대표이사가 주요주주에게 이사회 승인 없이 신용공여를 한 행위는 상법상 주요주주 등 이해관계자와의 거래 위반죄에 해당하여 형사 처벌을 받을 수 있습니다. 다만, 제공된 참고 조문 범위 내에서는 해당 행위를 한 자(대표이사)에 대한 처벌 규정은 명시되어 있으나, 회사 자체에 대한 형사 처벌 규정은 포함되어 있지 않습니다. 따라서 대표이사 갑은 형사 책임을 질 가능성이 높으나, 현재 제시된 조문만으로는 XYZ 회사 자체의 형사 처벌 근거를 찾기 어렵습니다.</w:t>
      </w:r>
    </w:p>
    <w:p>
      <w:pPr>
        <w:pStyle w:val="Heading1"/>
      </w:pPr>
      <w:r>
        <w:t>【관련 법령 및 해설】</w:t>
      </w:r>
    </w:p>
    <w:p>
      <w:r>
        <w:rPr>
          <w:b/>
          <w:i w:val="0"/>
          <w:color w:val="1F3864"/>
          <w:sz w:val="22"/>
        </w:rPr>
        <w:t>▸ 상법 제624조(특별배임죄의 미수)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제624조(특별배임죄의 미수) 전2조의 미수범은 처벌한다.</w:t>
      </w:r>
    </w:p>
    <w:p>
      <w:pPr>
        <w:ind w:left="320"/>
      </w:pPr>
      <w:r>
        <w:rPr>
          <w:b/>
          <w:i w:val="0"/>
          <w:sz w:val="20"/>
        </w:rPr>
        <w:t xml:space="preserve">· 해설: </w:t>
      </w:r>
      <w:r>
        <w:rPr>
          <w:b w:val="0"/>
          <w:i w:val="0"/>
          <w:sz w:val="20"/>
        </w:rPr>
        <w:t>주요주주 등 이해관계자와의 거래 관련 규정을 위반하여 신용공여를 한 자는 5 년 이하의 징역 또는 2 억 원 이하의 벌금에 처하도록 규정하고 있습니다. 이 조문은 대표이사 갑이 이사회 승인 없이 주요주주에게 신용공여를 한 행위를 직접적인 처벌 대상으로 삼고 있습니다. 다만, 이 조문은 위반 행위를 한 '자'를 처벌 대상으로 하며, 법인인 회사 자체를 처벌 대상으로 명시하고 있지는 않습니다.</w:t>
      </w:r>
    </w:p>
    <w:p>
      <w:pPr>
        <w:pStyle w:val="Heading1"/>
      </w:pPr>
      <w:r>
        <w:t>【결론】</w:t>
      </w:r>
    </w:p>
    <w:p>
      <w:r>
        <w:t>대표이사 갑은 상법 제624 조에 따라 주요주주 등 이해관계자와의 거래 위반죄로 5 년 이하의 징역 또는 2 억 원 이하의 벌금형에 처해질 수 있습니다. 반면, 제공된 참고 조문에는 회사 자체를 형사 처벌하는 규정이 포함되어 있지 않으므로, 현재 정보만으로는 XYZ 회사에 대한 형사 처벌 가능성을 단정하기 어렵습니다. 회사는 내부 규정을 위반한 대표이사에 대한 민사적 손해배상 청구나 징계 등 별도의 구제 절차를 병행하여 검토해야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