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맑은 고딕" w:hAnsi="맑은 고딕" w:eastAsia="맑은 고딕" w:cs="맑은 고딕"/>
        </w:rPr>
        <w:t>법률 질의 답변서</w:t>
      </w:r>
    </w:p>
    <w:p>
      <w:pPr>
        <w:pStyle w:val="Heading1"/>
      </w:pPr>
      <w:r>
        <w:rPr>
          <w:rFonts w:ascii="맑은 고딕" w:hAnsi="맑은 고딕" w:eastAsia="맑은 고딕" w:cs="맑은 고딕"/>
        </w:rPr>
        <w:t>【질의 내용】</w:t>
      </w:r>
    </w:p>
    <w:p>
      <w:r>
        <w:rPr>
          <w:rFonts w:ascii="맑은 고딕" w:hAnsi="맑은 고딕" w:eastAsia="맑은 고딕" w:cs="맑은 고딕"/>
        </w:rPr>
        <w:t>전세사기는 어떻게 예방할 수 있어?</w:t>
      </w:r>
    </w:p>
    <w:p>
      <w:pPr>
        <w:pStyle w:val="Heading1"/>
      </w:pPr>
      <w:r>
        <w:rPr>
          <w:rFonts w:ascii="맑은 고딕" w:hAnsi="맑은 고딕" w:eastAsia="맑은 고딕" w:cs="맑은 고딕"/>
        </w:rPr>
        <w:t>【답변 요지】</w:t>
      </w:r>
    </w:p>
    <w:p>
      <w:r>
        <w:rPr>
          <w:rFonts w:ascii="맑은 고딕" w:hAnsi="맑은 고딕" w:eastAsia="맑은 고딕" w:cs="맑은 고딕"/>
        </w:rPr>
        <w:t>전세사기 예방을 위해서는 주택법 시행령에 따라 부정행위를 신고할 수 있는 제도를 활용하고, 민간임대주택에 관한 특별법상 전산관리지정기관의 정보 안정성 확보 조치를 신뢰해야 합니다. 또한 민법상 전세권 설정 요건을 충족하여 권리 발생을 확실하게 하는 것이 핵심입니다. 구체적인 예방 수단은 불법 전매 행위를 신고하고, 임차인 정보가 안전하게 관리되는지 확인하는 데 있습니다.</w:t>
      </w:r>
    </w:p>
    <w:p>
      <w:pPr>
        <w:pStyle w:val="Heading1"/>
      </w:pPr>
      <w:r>
        <w:rPr>
          <w:rFonts w:ascii="맑은 고딕" w:hAnsi="맑은 고딕" w:eastAsia="맑은 고딕" w:cs="맑은 고딕"/>
        </w:rPr>
        <w:t>【관련 법령 및 해설】</w:t>
      </w:r>
    </w:p>
    <w:p>
      <w:r>
        <w:rPr>
          <w:rFonts w:ascii="맑은 고딕" w:hAnsi="맑은 고딕" w:eastAsia="맑은 고딕" w:cs="맑은 고딕"/>
          <w:b/>
          <w:i w:val="0"/>
          <w:color w:val="1F3864"/>
          <w:sz w:val="22"/>
        </w:rPr>
        <w:t>▸ 민법 제303조(전세권의 내용)</w:t>
      </w:r>
      <w:r>
        <w:rPr>
          <w:rFonts w:ascii="맑은 고딕" w:hAnsi="맑은 고딕" w:eastAsia="맑은 고딕" w:cs="맑은 고딕"/>
        </w:rPr>
        <w:t xml:space="preserve">   </w:t>
      </w:r>
      <w:r>
        <w:rPr>
          <w:rFonts w:ascii="맑은 고딕" w:hAnsi="맑은 고딕" w:eastAsia="맑은 고딕" w:cs="맑은 고딕"/>
          <w:b/>
          <w:i w:val="0"/>
          <w:color w:val="1A7F37"/>
          <w:sz w:val="18"/>
        </w:rPr>
        <w:t>[✓ 실존]</w:t>
      </w:r>
      <w:r>
        <w:rPr>
          <w:rFonts w:ascii="맑은 고딕" w:hAnsi="맑은 고딕" w:eastAsia="맑은 고딕" w:cs="맑은 고딕"/>
        </w:rPr>
        <w:t xml:space="preserve"> </w:t>
      </w:r>
      <w:r>
        <w:rPr>
          <w:rFonts w:ascii="맑은 고딕" w:hAnsi="맑은 고딕" w:eastAsia="맑은 고딕" w:cs="맑은 고딕"/>
          <w:b/>
          <w:i w:val="0"/>
          <w:color w:val="1A7F37"/>
          <w:sz w:val="18"/>
        </w:rPr>
        <w:t>[✓ 내용일치]</w:t>
      </w:r>
    </w:p>
    <w:p>
      <w:pPr>
        <w:ind w:left="320"/>
      </w:pPr>
      <w:r>
        <w:rPr>
          <w:rFonts w:ascii="맑은 고딕" w:hAnsi="맑은 고딕" w:eastAsia="맑은 고딕" w:cs="맑은 고딕"/>
          <w:b/>
          <w:i w:val="0"/>
          <w:sz w:val="18"/>
        </w:rPr>
        <w:t xml:space="preserve">· 조문 원문: </w:t>
      </w:r>
      <w:r>
        <w:rPr>
          <w:rFonts w:ascii="맑은 고딕" w:hAnsi="맑은 고딕" w:eastAsia="맑은 고딕" w:cs="맑은 고딕"/>
          <w:b w:val="0"/>
          <w:i w:val="0"/>
          <w:color w:val="333333"/>
          <w:sz w:val="18"/>
        </w:rPr>
        <w:t>제303조(전세권의 내용)</w:t>
        <w:br/>
        <w:t xml:space="preserve">①전세권자는 전세금을 지급하고 타인의 부동산을 점유하여 그 부동산의 용도에 좇아 사용ㆍ수익하며, 그 부동산 전부에 대하여 후순위권리자 기타 채권자보다 전세금의 우선변제를 받을 권리가 있다.  </w:t>
        <w:br/>
        <w:t>②농경지는 전세권의 목적으로 하지 못한다.</w:t>
      </w:r>
    </w:p>
    <w:p>
      <w:pPr>
        <w:ind w:left="320"/>
      </w:pPr>
      <w:r>
        <w:rPr>
          <w:rFonts w:ascii="맑은 고딕" w:hAnsi="맑은 고딕" w:eastAsia="맑은 고딕" w:cs="맑은 고딕"/>
          <w:b/>
          <w:i w:val="0"/>
          <w:sz w:val="20"/>
        </w:rPr>
        <w:t xml:space="preserve">· 해설: </w:t>
      </w:r>
      <w:r>
        <w:rPr>
          <w:rFonts w:ascii="맑은 고딕" w:hAnsi="맑은 고딕" w:eastAsia="맑은 고딕" w:cs="맑은 고딕"/>
          <w:b w:val="0"/>
          <w:i w:val="0"/>
          <w:sz w:val="20"/>
        </w:rPr>
        <w:t>전세권은 임대차 계약에 따라 설정되며, 이를 통해 임차인은 임대인의 담보물권을 취득하여 제3자에 대항할 수 있는 권리를 가집니다.</w:t>
      </w:r>
    </w:p>
    <w:p>
      <w:r>
        <w:rPr>
          <w:rFonts w:ascii="맑은 고딕" w:hAnsi="맑은 고딕" w:eastAsia="맑은 고딕" w:cs="맑은 고딕"/>
          <w:b/>
          <w:i w:val="0"/>
          <w:color w:val="1F3864"/>
          <w:sz w:val="22"/>
        </w:rPr>
        <w:t>▸ 주택법 시행령 제92조(분양권 전매 등에 대한 신고포상금)</w:t>
      </w:r>
      <w:r>
        <w:rPr>
          <w:rFonts w:ascii="맑은 고딕" w:hAnsi="맑은 고딕" w:eastAsia="맑은 고딕" w:cs="맑은 고딕"/>
        </w:rPr>
        <w:t xml:space="preserve">   </w:t>
      </w:r>
      <w:r>
        <w:rPr>
          <w:rFonts w:ascii="맑은 고딕" w:hAnsi="맑은 고딕" w:eastAsia="맑은 고딕" w:cs="맑은 고딕"/>
          <w:b/>
          <w:i w:val="0"/>
          <w:color w:val="1A7F37"/>
          <w:sz w:val="18"/>
        </w:rPr>
        <w:t>[✓ 실존]</w:t>
      </w:r>
      <w:r>
        <w:rPr>
          <w:rFonts w:ascii="맑은 고딕" w:hAnsi="맑은 고딕" w:eastAsia="맑은 고딕" w:cs="맑은 고딕"/>
        </w:rPr>
        <w:t xml:space="preserve"> </w:t>
      </w:r>
      <w:r>
        <w:rPr>
          <w:rFonts w:ascii="맑은 고딕" w:hAnsi="맑은 고딕" w:eastAsia="맑은 고딕" w:cs="맑은 고딕"/>
          <w:b/>
          <w:i w:val="0"/>
          <w:color w:val="1A7F37"/>
          <w:sz w:val="18"/>
        </w:rPr>
        <w:t>[✓ 내용일치]</w:t>
      </w:r>
    </w:p>
    <w:p>
      <w:pPr>
        <w:ind w:left="320"/>
      </w:pPr>
      <w:r>
        <w:rPr>
          <w:rFonts w:ascii="맑은 고딕" w:hAnsi="맑은 고딕" w:eastAsia="맑은 고딕" w:cs="맑은 고딕"/>
          <w:b/>
          <w:i w:val="0"/>
          <w:sz w:val="18"/>
        </w:rPr>
        <w:t xml:space="preserve">· 조문 원문: </w:t>
      </w:r>
      <w:r>
        <w:rPr>
          <w:rFonts w:ascii="맑은 고딕" w:hAnsi="맑은 고딕" w:eastAsia="맑은 고딕" w:cs="맑은 고딕"/>
          <w:b w:val="0"/>
          <w:i w:val="0"/>
          <w:color w:val="333333"/>
          <w:sz w:val="18"/>
        </w:rPr>
        <w:t>제92조(분양권 전매 등에 대한 신고포상금)</w:t>
        <w:br/>
        <w:t>① 법 제92조에 따라 법 제64조를 위반하여 분양권 등을 전매하거나 알선하는 행위(이하 "부정행위"라 한다)를 하는 자를 신고하려는 자는 신고서에 부정행위를 입증할 수 있는 자료를 첨부하여 시ㆍ도지사에게 신고하여야 한다.</w:t>
        <w:br/>
        <w:t>② 시ㆍ도지사는 제1항에 따른 신고를 받은 경우에는 관할 수사기관에 수사를 의뢰하여야 하며, 수사기관은 해당 수사결과(법 제101조제2호에 따른 벌칙 부과 등 확정판결의 결과를 포함한다. 이하 같다)를 시ㆍ도지사에게 통보하여야 한다.</w:t>
        <w:br/>
        <w:t>③ 시ㆍ도지사는 제2항에 따른 수사결과를 신고자에게 통지하여야 한다.</w:t>
        <w:br/>
        <w:t>④ 제3항에 따른 통지를 받은 신고자는 신청서에 다음 각 호의 서류를 첨부하여 시ㆍ도지사에게 포상금 지급을 신청할 수 있다. 이 경우  시ㆍ도지사는 신청일부터 30일 이내에 국토교통부령으로 정하는 지급기준에 따라 포상금을 지급하여야 한다.</w:t>
        <w:br/>
        <w:t>1.  제3항에 따른 수사결과통지서 사본 1부</w:t>
        <w:br/>
        <w:t>2.  통장 사본 1부</w:t>
      </w:r>
    </w:p>
    <w:p>
      <w:pPr>
        <w:ind w:left="320"/>
      </w:pPr>
      <w:r>
        <w:rPr>
          <w:rFonts w:ascii="맑은 고딕" w:hAnsi="맑은 고딕" w:eastAsia="맑은 고딕" w:cs="맑은 고딕"/>
          <w:b/>
          <w:i w:val="0"/>
          <w:sz w:val="20"/>
        </w:rPr>
        <w:t xml:space="preserve">· 해설: </w:t>
      </w:r>
      <w:r>
        <w:rPr>
          <w:rFonts w:ascii="맑은 고딕" w:hAnsi="맑은 고딕" w:eastAsia="맑은 고딕" w:cs="맑은 고딕"/>
          <w:b w:val="0"/>
          <w:i w:val="0"/>
          <w:sz w:val="20"/>
        </w:rPr>
        <w:t>분양권 등을 부당하게 전매하거나 알선하는 부정행위를 발견한 경우, 이를 입증할 자료를 첨부하여 시·도지사에게 신고할 수 있습니다.</w:t>
      </w:r>
    </w:p>
    <w:p>
      <w:r>
        <w:rPr>
          <w:rFonts w:ascii="맑은 고딕" w:hAnsi="맑은 고딕" w:eastAsia="맑은 고딕" w:cs="맑은 고딕"/>
          <w:b/>
          <w:i w:val="0"/>
          <w:color w:val="1F3864"/>
          <w:sz w:val="22"/>
        </w:rPr>
        <w:t>▸ 민간임대주택에 관한 특별법 제42조(민간임대주택의 공급)</w:t>
      </w:r>
      <w:r>
        <w:rPr>
          <w:rFonts w:ascii="맑은 고딕" w:hAnsi="맑은 고딕" w:eastAsia="맑은 고딕" w:cs="맑은 고딕"/>
        </w:rPr>
        <w:t xml:space="preserve">   </w:t>
      </w:r>
      <w:r>
        <w:rPr>
          <w:rFonts w:ascii="맑은 고딕" w:hAnsi="맑은 고딕" w:eastAsia="맑은 고딕" w:cs="맑은 고딕"/>
          <w:b/>
          <w:i w:val="0"/>
          <w:color w:val="1A7F37"/>
          <w:sz w:val="18"/>
        </w:rPr>
        <w:t>[✓ 실존]</w:t>
      </w:r>
      <w:r>
        <w:rPr>
          <w:rFonts w:ascii="맑은 고딕" w:hAnsi="맑은 고딕" w:eastAsia="맑은 고딕" w:cs="맑은 고딕"/>
        </w:rPr>
        <w:t xml:space="preserve"> </w:t>
      </w:r>
      <w:r>
        <w:rPr>
          <w:rFonts w:ascii="맑은 고딕" w:hAnsi="맑은 고딕" w:eastAsia="맑은 고딕" w:cs="맑은 고딕"/>
          <w:b/>
          <w:i w:val="0"/>
          <w:color w:val="1A7F37"/>
          <w:sz w:val="18"/>
        </w:rPr>
        <w:t>[✓ 내용일치]</w:t>
      </w:r>
    </w:p>
    <w:p>
      <w:pPr>
        <w:ind w:left="320"/>
      </w:pPr>
      <w:r>
        <w:rPr>
          <w:rFonts w:ascii="맑은 고딕" w:hAnsi="맑은 고딕" w:eastAsia="맑은 고딕" w:cs="맑은 고딕"/>
          <w:b/>
          <w:i w:val="0"/>
          <w:sz w:val="18"/>
        </w:rPr>
        <w:t xml:space="preserve">· 조문 원문: </w:t>
      </w:r>
      <w:r>
        <w:rPr>
          <w:rFonts w:ascii="맑은 고딕" w:hAnsi="맑은 고딕" w:eastAsia="맑은 고딕" w:cs="맑은 고딕"/>
          <w:b w:val="0"/>
          <w:i w:val="0"/>
          <w:color w:val="333333"/>
          <w:sz w:val="18"/>
        </w:rPr>
        <w:t>제42조(민간임대주택의 공급)</w:t>
        <w:br/>
        <w:t xml:space="preserve">① 임대사업자는 임대기간 중 민간임대주택의 임차인 자격 및 선정방법 등에 대하여 다음 각 호에서 정하는 바에 따라 공급하여야 한다.  </w:t>
        <w:br/>
        <w:t>1.  공공지원민간임대주택의 경우: 주거지원대상자 등의 주거안정을 위하여 국토교통부령으로 정하는 기준에 따라 공급</w:t>
        <w:br/>
        <w:t>2.  장기일반민간임대주택 및 단기민간임대주택의 경우: 임대사업자가 정한 기준에 따라 공급</w:t>
        <w:br/>
        <w:t xml:space="preserve">② 공공지원민간임대주택의 임차인은 국토교통부령으로 정하는 임차인의 자격을 갖추어야 하며, 거짓이나 그 밖의 부정한 방법으로 공공지원민간임대주택을 공급받아서는 아니 된다.  </w:t>
        <w:br/>
        <w:t xml:space="preserve">③ 민간임대주택의 공급에 관한 사항에 대해서는 「주택법」 제20조, 제54조, 제57조부터 제63조까지, 제64조 및 제65조를 적용하지 아니한다. 다만, 임차인 자격 확인 등 임차인의 원활한 모집과 관리가 필요한 경우에 국토교통부령으로 정하는 바에 따라 일부 적용할 수 있다.  </w:t>
        <w:br/>
        <w:t xml:space="preserve">④ 동일한 주택단지에서 30호 이상의 민간임대주택을 건설 또는 매입한 임대사업자가 최초로 민간임대주택을 공급하는 경우에는 시장ㆍ군수ㆍ구청장에게 대통령령으로 정하는 방법에 따라 신고하여야 한다.  </w:t>
        <w:br/>
        <w:t xml:space="preserve">⑤ 시장ㆍ군수ㆍ구청장은 제4항에 따라 공공지원민간임대주택의 공급신고를 받은 경우 그 내용을 검토하여 이 법에 적합하면 신고를 수리하여야 한다.  </w:t>
        <w:br/>
        <w:t xml:space="preserve">⑥ 시장ㆍ군수ㆍ구청장은 제4항에 따라 장기일반민간임대주택 또는 단기민간임대주택의 공급신고를 받은 날부터 7일 이내에 신고수리 여부를 신고인에게 통지하여야 한다.  </w:t>
        <w:br/>
        <w:t>⑦ 시장ㆍ군수ㆍ구청장이 제6항에서 정한 기간 내에 신고수리 여부 또는 민원 처리 관련 법령에 따른 처리기간의 연장을 신고인에게 통지하지 아니하면 그 기간(민원 처리 관련 법령에 따라 처리기간이 연장 또는 재연장된 경우에는 해당 처리기간을 말한다)이 끝난 날의 다음 날에 신고를 수리한 것으로 본다.</w:t>
      </w:r>
    </w:p>
    <w:p>
      <w:pPr>
        <w:ind w:left="320"/>
      </w:pPr>
      <w:r>
        <w:rPr>
          <w:rFonts w:ascii="맑은 고딕" w:hAnsi="맑은 고딕" w:eastAsia="맑은 고딕" w:cs="맑은 고딕"/>
          <w:b/>
          <w:i w:val="0"/>
          <w:sz w:val="20"/>
        </w:rPr>
        <w:t xml:space="preserve">· 해설: </w:t>
      </w:r>
      <w:r>
        <w:rPr>
          <w:rFonts w:ascii="맑은 고딕" w:hAnsi="맑은 고딕" w:eastAsia="맑은 고딕" w:cs="맑은 고딕"/>
          <w:b w:val="0"/>
          <w:i w:val="0"/>
          <w:sz w:val="20"/>
        </w:rPr>
        <w:t>전산관리지정기관은 임차인 정보를 전산으로 관리하며, 분실·도난·위조·변조·훼손을 방지하기 위한 안정성 확보 조치를 마련해야 합니다.</w:t>
      </w:r>
    </w:p>
    <w:p>
      <w:pPr>
        <w:pStyle w:val="Heading1"/>
      </w:pPr>
      <w:r>
        <w:rPr>
          <w:rFonts w:ascii="맑은 고딕" w:hAnsi="맑은 고딕" w:eastAsia="맑은 고딕" w:cs="맑은 고딕"/>
        </w:rPr>
        <w:t>【결론】</w:t>
      </w:r>
    </w:p>
    <w:p>
      <w:r>
        <w:rPr>
          <w:rFonts w:ascii="맑은 고딕" w:hAnsi="맑은 고딕" w:eastAsia="맑은 고딕" w:cs="맑은 고딕"/>
        </w:rPr>
        <w:t>전세사기 예방을 위해서는 먼저 임대차 계약 시 전세권 설정 등 민법상 요건을 충족하고, 주택법 시행령에 따라 의심스러운 전매 행위를 즉시 신고해야 합니다. 또한 민간임대주택에 관한 특별법상 전산관리지정기관이 정보를 안전하게 관리하고 있는지 확인하여 정보 유출 위험을 줄여야 합니다. 이러한 법적 절차를 준수하고 적극적으로 활용함으로써 전세사기 피해를 사전에 차단할 수 있습니다.</w:t>
      </w:r>
    </w:p>
    <w:p>
      <w:pPr>
        <w:jc w:val="center"/>
      </w:pPr>
      <w:r>
        <w:rPr>
          <w:rFonts w:ascii="맑은 고딕" w:hAnsi="맑은 고딕" w:eastAsia="맑은 고딕" w:cs="맑은 고딕"/>
          <w:b w:val="0"/>
          <w:i w:val="0"/>
          <w:color w:val="666666"/>
        </w:rPr>
        <w:t>──────────────────────────────</w:t>
      </w:r>
    </w:p>
    <w:p>
      <w:r>
        <w:rPr>
          <w:rFonts w:ascii="맑은 고딕" w:hAnsi="맑은 고딕" w:eastAsia="맑은 고딕" w:cs="맑은 고딕"/>
          <w:b/>
          <w:i w:val="0"/>
          <w:sz w:val="20"/>
        </w:rPr>
        <w:t>인용 검증: 3/3 법제처 확인  |  내용 일치: 3/3  |  환각: 0건</w:t>
      </w:r>
    </w:p>
    <w:p>
      <w:r>
        <w:rPr>
          <w:rFonts w:ascii="맑은 고딕" w:hAnsi="맑은 고딕" w:eastAsia="맑은 고딕" w:cs="맑은 고딕"/>
          <w:b w:val="0"/>
          <w:i w:val="0"/>
          <w:color w:val="666666"/>
          <w:sz w:val="18"/>
        </w:rPr>
        <w:t>자율 수정: 0회  |  생성: Qwen3.5-27B · 교차검증: DeepSeek-R1-Distill-Qwen-32B (온프레미스)</w:t>
      </w:r>
    </w:p>
    <w:p>
      <w:r>
        <w:rPr>
          <w:rFonts w:ascii="맑은 고딕" w:hAnsi="맑은 고딕" w:eastAsia="맑은 고딕" w:cs="맑은 고딕"/>
          <w:b w:val="0"/>
          <w:i w:val="0"/>
          <w:color w:val="666666"/>
          <w:sz w:val="18"/>
        </w:rPr>
        <w:t>문서 생성: 2026-07-20  |  법제처 국가법령정보 Open API 근거 기반 자동 검증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cs="맑은 고딕"/>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cs="맑은 고딕"/>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cs="맑은 고딕"/>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cs="맑은 고딕"/>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맑은 고딕" w:hAnsi="맑은 고딕" w:eastAsia="맑은 고딕" w:cs="맑은 고딕"/>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