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 w:eastAsia="맑은 고딕" w:cs="맑은 고딕"/>
        </w:rPr>
        <w:t>법률 질의 답변서</w:t>
      </w:r>
    </w:p>
    <w:p>
      <w:pPr>
        <w:pStyle w:val="Heading1"/>
      </w:pPr>
      <w:r>
        <w:rPr>
          <w:rFonts w:ascii="맑은 고딕" w:hAnsi="맑은 고딕" w:eastAsia="맑은 고딕" w:cs="맑은 고딕"/>
        </w:rPr>
        <w:t>【질의 내용】</w:t>
      </w:r>
    </w:p>
    <w:p>
      <w:r>
        <w:rPr>
          <w:rFonts w:ascii="맑은 고딕" w:hAnsi="맑은 고딕" w:eastAsia="맑은 고딕" w:cs="맑은 고딕"/>
        </w:rPr>
        <w:t>타인의 명예를 훼손하면 어떤 책임을 지나요?</w:t>
      </w:r>
    </w:p>
    <w:p>
      <w:pPr>
        <w:pStyle w:val="Heading1"/>
      </w:pPr>
      <w:r>
        <w:rPr>
          <w:rFonts w:ascii="맑은 고딕" w:hAnsi="맑은 고딕" w:eastAsia="맑은 고딕" w:cs="맑은 고딕"/>
        </w:rPr>
        <w:t>【답변 요지】</w:t>
      </w:r>
    </w:p>
    <w:p>
      <w:r>
        <w:rPr>
          <w:rFonts w:ascii="맑은 고딕" w:hAnsi="맑은 고딕" w:eastAsia="맑은 고딕" w:cs="맑은 고딕"/>
        </w:rPr>
        <w:t>타인의 명예를 훼손하면 형법상 2 년 이하의 징역이나 금고, 500 만 원 이하의 벌금에 처할 수 있는 형사책임을 집니다. 이는 공연히 사실을 적시하여 사람의 명예를 훼손한 행위가 성립해야 하며, 위법성 조각사유가 없는 경우에 적용됩니다. 또한 민사적 책임으로 피해자의 청구에 따라 정정보도 공표 등 명예회복 처분을 명할 수 있습니다.</w:t>
      </w:r>
    </w:p>
    <w:p>
      <w:pPr>
        <w:pStyle w:val="Heading1"/>
      </w:pPr>
      <w:r>
        <w:rPr>
          <w:rFonts w:ascii="맑은 고딕" w:hAnsi="맑은 고딕" w:eastAsia="맑은 고딕" w:cs="맑은 고딕"/>
        </w:rPr>
        <w:t>【관련 법령 및 해설】</w:t>
      </w:r>
    </w:p>
    <w:p>
      <w:r>
        <w:rPr>
          <w:rFonts w:ascii="맑은 고딕" w:hAnsi="맑은 고딕" w:eastAsia="맑은 고딕" w:cs="맑은 고딕"/>
          <w:b/>
          <w:i w:val="0"/>
          <w:color w:val="1F3864"/>
          <w:sz w:val="22"/>
        </w:rPr>
        <w:t>▸ 형법 제307조(명예훼손)</w:t>
      </w:r>
      <w:r>
        <w:rPr>
          <w:rFonts w:ascii="맑은 고딕" w:hAnsi="맑은 고딕" w:eastAsia="맑은 고딕" w:cs="맑은 고딕"/>
        </w:rPr>
        <w:t xml:space="preserve">   </w:t>
      </w:r>
      <w:r>
        <w:rPr>
          <w:rFonts w:ascii="맑은 고딕" w:hAnsi="맑은 고딕" w:eastAsia="맑은 고딕" w:cs="맑은 고딕"/>
          <w:b/>
          <w:i w:val="0"/>
          <w:color w:val="1A7F37"/>
          <w:sz w:val="18"/>
        </w:rPr>
        <w:t>[✓ 실존]</w:t>
      </w:r>
      <w:r>
        <w:rPr>
          <w:rFonts w:ascii="맑은 고딕" w:hAnsi="맑은 고딕" w:eastAsia="맑은 고딕" w:cs="맑은 고딕"/>
        </w:rPr>
        <w:t xml:space="preserve"> </w:t>
      </w:r>
      <w:r>
        <w:rPr>
          <w:rFonts w:ascii="맑은 고딕" w:hAnsi="맑은 고딕" w:eastAsia="맑은 고딕" w:cs="맑은 고딕"/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rFonts w:ascii="맑은 고딕" w:hAnsi="맑은 고딕" w:eastAsia="맑은 고딕" w:cs="맑은 고딕"/>
          <w:b/>
          <w:i w:val="0"/>
          <w:sz w:val="18"/>
        </w:rPr>
        <w:t xml:space="preserve">· 조문 원문: </w:t>
      </w:r>
      <w:r>
        <w:rPr>
          <w:rFonts w:ascii="맑은 고딕" w:hAnsi="맑은 고딕" w:eastAsia="맑은 고딕" w:cs="맑은 고딕"/>
          <w:b w:val="0"/>
          <w:i w:val="0"/>
          <w:color w:val="333333"/>
          <w:sz w:val="18"/>
        </w:rPr>
        <w:t>제307조(명예훼손)</w:t>
        <w:br/>
        <w:t xml:space="preserve">①공연히 사실을 적시하여 사람의 명예를 훼손한 자는 2년 이하의 징역이나 금고 또는 500만원 이하의 벌금에 처한다.  </w:t>
        <w:br/>
        <w:t>②공연히 허위의 사실을 적시하여 사람의 명예를 훼손한 자는 5년 이하의 징역, 10년 이하의 자격정지 또는 1천만원 이하의 벌금에 처한다.</w:t>
      </w:r>
    </w:p>
    <w:p>
      <w:pPr>
        <w:ind w:left="320"/>
      </w:pPr>
      <w:r>
        <w:rPr>
          <w:rFonts w:ascii="맑은 고딕" w:hAnsi="맑은 고딕" w:eastAsia="맑은 고딕" w:cs="맑은 고딕"/>
          <w:b/>
          <w:i w:val="0"/>
          <w:sz w:val="20"/>
        </w:rPr>
        <w:t xml:space="preserve">· 해설: </w:t>
      </w:r>
      <w:r>
        <w:rPr>
          <w:rFonts w:ascii="맑은 고딕" w:hAnsi="맑은 고딕" w:eastAsia="맑은 고딕" w:cs="맑은 고딕"/>
          <w:b w:val="0"/>
          <w:i w:val="0"/>
          <w:sz w:val="20"/>
        </w:rPr>
        <w:t>공연히 사실을 적시하여 사람의 명예를 훼손한 자는 2 년 이하의 징역이나 금고 또는 500 만 원 이하의 벌금에 처합니다. 이 조항은 사실의 적시와 공연성, 그리고 명예훼손 결과의 발생을 모두 요건으로 합니다. 위법성 조각사유가 인정되지 않는 한 형사 처벌의 근거가 됩니다.</w:t>
      </w:r>
    </w:p>
    <w:p>
      <w:r>
        <w:rPr>
          <w:rFonts w:ascii="맑은 고딕" w:hAnsi="맑은 고딕" w:eastAsia="맑은 고딕" w:cs="맑은 고딕"/>
          <w:b/>
          <w:i w:val="0"/>
          <w:color w:val="1F3864"/>
          <w:sz w:val="22"/>
        </w:rPr>
        <w:t>▸ 언론중재 및 피해구제 등에 관한 법률 제31조(명예훼손의 경우의 특칙)</w:t>
      </w:r>
      <w:r>
        <w:rPr>
          <w:rFonts w:ascii="맑은 고딕" w:hAnsi="맑은 고딕" w:eastAsia="맑은 고딕" w:cs="맑은 고딕"/>
        </w:rPr>
        <w:t xml:space="preserve">   </w:t>
      </w:r>
      <w:r>
        <w:rPr>
          <w:rFonts w:ascii="맑은 고딕" w:hAnsi="맑은 고딕" w:eastAsia="맑은 고딕" w:cs="맑은 고딕"/>
          <w:b/>
          <w:i w:val="0"/>
          <w:color w:val="1A7F37"/>
          <w:sz w:val="18"/>
        </w:rPr>
        <w:t>[✓ 실존]</w:t>
      </w:r>
      <w:r>
        <w:rPr>
          <w:rFonts w:ascii="맑은 고딕" w:hAnsi="맑은 고딕" w:eastAsia="맑은 고딕" w:cs="맑은 고딕"/>
        </w:rPr>
        <w:t xml:space="preserve"> </w:t>
      </w:r>
      <w:r>
        <w:rPr>
          <w:rFonts w:ascii="맑은 고딕" w:hAnsi="맑은 고딕" w:eastAsia="맑은 고딕" w:cs="맑은 고딕"/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rFonts w:ascii="맑은 고딕" w:hAnsi="맑은 고딕" w:eastAsia="맑은 고딕" w:cs="맑은 고딕"/>
          <w:b/>
          <w:i w:val="0"/>
          <w:sz w:val="18"/>
        </w:rPr>
        <w:t xml:space="preserve">· 조문 원문: </w:t>
      </w:r>
      <w:r>
        <w:rPr>
          <w:rFonts w:ascii="맑은 고딕" w:hAnsi="맑은 고딕" w:eastAsia="맑은 고딕" w:cs="맑은 고딕"/>
          <w:b w:val="0"/>
          <w:i w:val="0"/>
          <w:color w:val="333333"/>
          <w:sz w:val="18"/>
        </w:rPr>
        <w:t>제31조(명예훼손의 경우의 특칙) 타인의 명예를 훼손한 자에 대하여는 법원은 피해자의 청구에 의하여 손해배상을 갈음하여 또는 손해배상과 함께, 정정보도의 공표 등 명예회복에 적당한 처분을 명할 수 있다.</w:t>
      </w:r>
    </w:p>
    <w:p>
      <w:pPr>
        <w:ind w:left="320"/>
      </w:pPr>
      <w:r>
        <w:rPr>
          <w:rFonts w:ascii="맑은 고딕" w:hAnsi="맑은 고딕" w:eastAsia="맑은 고딕" w:cs="맑은 고딕"/>
          <w:b/>
          <w:i w:val="0"/>
          <w:sz w:val="20"/>
        </w:rPr>
        <w:t xml:space="preserve">· 해설: </w:t>
      </w:r>
      <w:r>
        <w:rPr>
          <w:rFonts w:ascii="맑은 고딕" w:hAnsi="맑은 고딕" w:eastAsia="맑은 고딕" w:cs="맑은 고딕"/>
          <w:b w:val="0"/>
          <w:i w:val="0"/>
          <w:sz w:val="20"/>
        </w:rPr>
        <w:t>타인의 명예를 훼손한 자에 대하여 법원은 피해자의 청구에 의하여 손해배상을 갈음하거나 함께 정정보도 공표 등 명예회복에 적당한 처분을 명할 수 있습니다. 이는 형사 처벌과 별개로 피해자의 명예를 회복시키기 위한 구제 수단을 제공합니다.</w:t>
      </w:r>
    </w:p>
    <w:p>
      <w:pPr>
        <w:pStyle w:val="Heading1"/>
      </w:pPr>
      <w:r>
        <w:rPr>
          <w:rFonts w:ascii="맑은 고딕" w:hAnsi="맑은 고딕" w:eastAsia="맑은 고딕" w:cs="맑은 고딕"/>
        </w:rPr>
        <w:t>【결론】</w:t>
      </w:r>
    </w:p>
    <w:p>
      <w:r>
        <w:rPr>
          <w:rFonts w:ascii="맑은 고딕" w:hAnsi="맑은 고딕" w:eastAsia="맑은 고딕" w:cs="맑은 고딕"/>
        </w:rPr>
        <w:t>타인의 명예를 훼손한 경우 형사 처벌과 함께 명예회복을 위한 민사적 구제 조치를 받을 수 있습니다. 사실 적시와 공연성 등 구성요건을 충족하면 형사 책임이 성립하며, 피해자는 정정보도 등을 청구할 수 있습니다. 실제 사안에서는 위법성 조각사유와 구체적 행위를 종합하여 책임 여부를 판단해야 합니다.</w:t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rFonts w:ascii="맑은 고딕" w:hAnsi="맑은 고딕" w:eastAsia="맑은 고딕" w:cs="맑은 고딕"/>
          <w:b/>
          <w:i w:val="0"/>
          <w:sz w:val="20"/>
        </w:rPr>
        <w:t>인용 검증: 2/2 법제처 확인  |  내용 일치: 2/2  |  환각: 0건</w:t>
      </w:r>
    </w:p>
    <w:p>
      <w:r>
        <w:rPr>
          <w:rFonts w:ascii="맑은 고딕" w:hAnsi="맑은 고딕" w:eastAsia="맑은 고딕" w:cs="맑은 고딕"/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rFonts w:ascii="맑은 고딕" w:hAnsi="맑은 고딕" w:eastAsia="맑은 고딕" w:cs="맑은 고딕"/>
          <w:b w:val="0"/>
          <w:i w:val="0"/>
          <w:color w:val="666666"/>
          <w:sz w:val="18"/>
        </w:rPr>
        <w:t>문서 생성: 2026-07-21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