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 w:cs="맑은 고딕"/>
        </w:rPr>
        <w:t>법률 질의 답변서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【질의 내용】</w:t>
      </w:r>
    </w:p>
    <w:p>
      <w:r>
        <w:rPr>
          <w:rFonts w:ascii="맑은 고딕" w:hAnsi="맑은 고딕" w:eastAsia="맑은 고딕" w:cs="맑은 고딕"/>
        </w:rPr>
        <w:t>타인의 재물을 절취하면 어떤 처벌을 받나요?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【답변 요지】</w:t>
      </w:r>
    </w:p>
    <w:p>
      <w:r>
        <w:rPr>
          <w:rFonts w:ascii="맑은 고딕" w:hAnsi="맑은 고딕" w:eastAsia="맑은 고딕" w:cs="맑은 고딕"/>
        </w:rPr>
        <w:t>타인의 재물을 절취한 행위는 절도죄에 해당하여 6 년 이하의 징역 또는 1 천만원 이하의 벌금에 처해집니다. 다만 야간에 건물을 손괴하여 침입하거나 흉기를 휴대하거나 2 명 이상이 합동하여 절취한 경우에는 중절도죄로 1 년 이상 10 년 이하의 징역에 처해집니다. 처벌의 경중은 단순 절도인지 중절도인지에 따라 결정되며, 구체적인 사안에 따라 적용되는 형량이 달라집니다.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【관련 법령 및 해설】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형법 제329조(절도)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제329조(절도) 타인의 재물을 절취한 자는 6년 이하의 징역 또는 1천만원 이하의 벌금에 처한다.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타인의 재물을 절취한 자는 6 년 이하의 징역 또는 1 천만원 이하의 벌금에 처하는 일반 절도죄의 기본 규정을 두고 있습니다. 이 조문은 재물 절취 행위의 기본 구성요건과 그에 따른 형벌을 명시하여 모든 절도 사건의 기초가 됩니다.</w:t>
      </w:r>
    </w:p>
    <w:p>
      <w:r>
        <w:rPr>
          <w:rFonts w:ascii="맑은 고딕" w:hAnsi="맑은 고딕" w:eastAsia="맑은 고딕" w:cs="맑은 고딕"/>
          <w:b/>
          <w:i w:val="0"/>
          <w:color w:val="1F3864"/>
          <w:sz w:val="22"/>
        </w:rPr>
        <w:t>▸ 형법 제331조(특수절도)</w:t>
      </w:r>
      <w:r>
        <w:rPr>
          <w:rFonts w:ascii="맑은 고딕" w:hAnsi="맑은 고딕" w:eastAsia="맑은 고딕" w:cs="맑은 고딕"/>
        </w:rPr>
        <w:t xml:space="preserve">  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실존]</w:t>
      </w:r>
      <w:r>
        <w:rPr>
          <w:rFonts w:ascii="맑은 고딕" w:hAnsi="맑은 고딕" w:eastAsia="맑은 고딕" w:cs="맑은 고딕"/>
        </w:rPr>
        <w:t xml:space="preserve"> </w:t>
      </w:r>
      <w:r>
        <w:rPr>
          <w:rFonts w:ascii="맑은 고딕" w:hAnsi="맑은 고딕" w:eastAsia="맑은 고딕" w:cs="맑은 고딕"/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18"/>
        </w:rPr>
        <w:t xml:space="preserve">· 조문 원문: </w:t>
      </w:r>
      <w:r>
        <w:rPr>
          <w:rFonts w:ascii="맑은 고딕" w:hAnsi="맑은 고딕" w:eastAsia="맑은 고딕" w:cs="맑은 고딕"/>
          <w:b w:val="0"/>
          <w:i w:val="0"/>
          <w:color w:val="333333"/>
          <w:sz w:val="18"/>
        </w:rPr>
        <w:t>제331조(특수절도)</w:t>
        <w:br/>
        <w:t>① 야간에 문이나 담 그 밖의 건조물의 일부를 손괴하고 제330조의 장소에 침입하여 타인의 재물을 절취한 자는 1년 이상 10년 이하의 징역에 처한다.</w:t>
        <w:br/>
        <w:t>② 흉기를 휴대하거나 2명 이상이 합동하여 타인의 재물을 절취한 자도 제1항의 형에 처한다.</w:t>
      </w:r>
    </w:p>
    <w:p>
      <w:pPr>
        <w:ind w:left="320"/>
      </w:pPr>
      <w:r>
        <w:rPr>
          <w:rFonts w:ascii="맑은 고딕" w:hAnsi="맑은 고딕" w:eastAsia="맑은 고딕" w:cs="맑은 고딕"/>
          <w:b/>
          <w:i w:val="0"/>
          <w:sz w:val="20"/>
        </w:rPr>
        <w:t xml:space="preserve">· 해설: </w:t>
      </w:r>
      <w:r>
        <w:rPr>
          <w:rFonts w:ascii="맑은 고딕" w:hAnsi="맑은 고딕" w:eastAsia="맑은 고딕" w:cs="맑은 고딕"/>
          <w:b w:val="0"/>
          <w:i w:val="0"/>
          <w:sz w:val="20"/>
        </w:rPr>
        <w:t>야간에 문이나 담 등 건조물을 손괴하여 침입하거나 흉기를 휴대하거나 2 명 이상이 합동하여 재물을 절취한 자는 1 년 이상 10 년 이하의 징역에 처하는 중절도죄를 규정합니다. 이 조문은 단순 절도보다 사회적 위험성이 크다고 판단되는 특정 정황에서 더 무거운 형벌을 부과하는 근거가 됩니다.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【결론】</w:t>
      </w:r>
    </w:p>
    <w:p>
      <w:r>
        <w:rPr>
          <w:rFonts w:ascii="맑은 고딕" w:hAnsi="맑은 고딕" w:eastAsia="맑은 고딕" w:cs="맑은 고딕"/>
        </w:rPr>
        <w:t>타인의 재물을 절취한 경우 기본 원칙에 따라 6 년 이하의 징역 또는 1 천만원 이하의 벌금형이 적용되지만, 야간 침입이나 흉기 휴대 등 중절도 요건이 충족되면 1 년 이상 10 년 이하의 징역으로 처벌이 가중됩니다. 실제 처벌은 구체적인 절취 방법과 정황을 고려하여 일반 절도죄와 중절도죄 중 어느 조항이 적용될지 판단해야 합니다. 따라서 단순 절취인지 중절도 요건이 있는지 정확히 구분하여 법적 대응을 준비하는 것이 중요합니다.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rFonts w:ascii="맑은 고딕" w:hAnsi="맑은 고딕" w:eastAsia="맑은 고딕" w:cs="맑은 고딕"/>
          <w:b/>
          <w:i w:val="0"/>
          <w:sz w:val="20"/>
        </w:rPr>
        <w:t>인용 검증: 2/2 법제처 확인  |  내용 일치: 2/2  |  환각: 0건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rFonts w:ascii="맑은 고딕" w:hAnsi="맑은 고딕" w:eastAsia="맑은 고딕" w:cs="맑은 고딕"/>
          <w:b w:val="0"/>
          <w:i w:val="0"/>
          <w:color w:val="666666"/>
          <w:sz w:val="18"/>
        </w:rPr>
        <w:t>문서 생성: 2026-07-20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