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어느 날 을의 집에 몰래 침입하여 을을 강간하였다. 이 사건으로 인해 을은 큰 충격을 받았고, 경찰에 신고하여 갑은 체포되었다. 다른 사건에서는 병이 술에 취해 길거리에서 지나가던 정을 폭행하여 강제추행을 저질렀다.</w:t>
        <w:br/>
        <w:br/>
        <w:t>[질문] 갑이 을의 집에 몰래 침입하여 강간을 저지른 경우, 그리고 병이 정에게 강제추행을 저지른 경우 각각 어떤 처벌을 받게 되는가?</w:t>
        <w:br/>
        <w:br/>
        <w:t>위 상황에 적용되는 대한민국 법조문을 '법령명 제N조' 형식으로 구체적으로 인용하여 근거와 함께 답하세요.</w:t>
      </w:r>
    </w:p>
    <w:p>
      <w:pPr>
        <w:pStyle w:val="Heading1"/>
      </w:pPr>
      <w:r>
        <w:t>【답변 요지】</w:t>
      </w:r>
    </w:p>
    <w:p>
      <w:r>
        <w:t>갑의 경우 주거침입과 강간을 연이어 저질렀으므로 성폭력범죄의 처벌 등에 관한 특례법 제3조에 따라 무기징역 또는 7년 이상의 중한 형벌을 받게 됩니다. 병의 경우 폭행으로 강제추행을 저질렀으므로 형법 제298조에 따라 10년 이하의 징역 또는 1천500만원 이하의 벌금에 처해집니다. 두 사안 모두 폭행이나 협박을 수단으로 성적인 행위를 강요한 점에 있어 형사 처벌의 요건을 충족합니다.</w:t>
      </w:r>
    </w:p>
    <w:p>
      <w:pPr>
        <w:pStyle w:val="Heading1"/>
      </w:pPr>
      <w:r>
        <w:t>【관련 법령 및 해설】</w:t>
      </w:r>
    </w:p>
    <w:p>
      <w:r>
        <w:rPr>
          <w:b/>
          <w:i w:val="0"/>
          <w:color w:val="1F3864"/>
          <w:sz w:val="22"/>
        </w:rPr>
        <w:t>▸ 가정폭력범죄의 처벌 등에 관한 특례법 제3조</w:t>
      </w:r>
      <w:r>
        <w:t xml:space="preserve">   </w:t>
      </w:r>
      <w:r>
        <w:rPr>
          <w:b/>
          <w:i w:val="0"/>
          <w:color w:val="666666"/>
          <w:sz w:val="18"/>
        </w:rPr>
        <w:t>[⚠ 확인필요]</w:t>
      </w:r>
      <w:r>
        <w:t xml:space="preserve"> </w:t>
      </w:r>
      <w:r>
        <w:rPr>
          <w:b/>
          <w:i w:val="0"/>
          <w:color w:val="666666"/>
          <w:sz w:val="18"/>
        </w:rPr>
        <w:t>[—]</w:t>
      </w:r>
    </w:p>
    <w:p>
      <w:pPr>
        <w:ind w:left="320"/>
      </w:pPr>
      <w:r>
        <w:rPr>
          <w:b/>
          <w:i w:val="0"/>
          <w:sz w:val="18"/>
        </w:rPr>
        <w:t xml:space="preserve">· 조문 원문: </w:t>
      </w:r>
      <w:r>
        <w:rPr>
          <w:b w:val="0"/>
          <w:i w:val="0"/>
          <w:color w:val="333333"/>
          <w:sz w:val="18"/>
        </w:rPr>
        <w:t>(법제처 확인 불가 — 법령명·항 재확인 필요)</w:t>
      </w:r>
    </w:p>
    <w:p>
      <w:pPr>
        <w:ind w:left="320"/>
      </w:pPr>
      <w:r>
        <w:rPr>
          <w:b/>
          <w:i w:val="0"/>
          <w:sz w:val="20"/>
        </w:rPr>
        <w:t xml:space="preserve">· 해설: </w:t>
      </w:r>
      <w:r>
        <w:rPr>
          <w:b w:val="0"/>
          <w:i w:val="0"/>
          <w:sz w:val="20"/>
        </w:rPr>
        <w:t>주거침입죄를 범한 사람이 강간죄를 범한 경우에는 무기징역 또는 7년 이상의 징역에 처하는 가중처벌 규정이 적용됩니다. 이 조항은 주거침입과 강간이 결합된 경우 일반 강간죄보다 훨씬 무거운 형량을 부과하여 성폭력 범죄를 강력히 단속하려는 취지를 담고 있습니다. 갑의 사안은 이 조문의 적용 요건인 주거침입과 강간의 결합을 모두 충족하므로 해당 가중처벌 규정이 적용됩니다.</w:t>
      </w:r>
    </w:p>
    <w:p>
      <w:r>
        <w:rPr>
          <w:b/>
          <w:i w:val="0"/>
          <w:color w:val="1F3864"/>
          <w:sz w:val="22"/>
        </w:rPr>
        <w:t>▸ 형법 제298조(강제추행)</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제298조(강제추행) 폭행 또는 협박으로 사람에 대하여 추행을 한 자는 10년 이하의 징역 또는 1천500만원 이하의 벌금에 처한다.</w:t>
      </w:r>
    </w:p>
    <w:p>
      <w:pPr>
        <w:ind w:left="320"/>
      </w:pPr>
      <w:r>
        <w:rPr>
          <w:b/>
          <w:i w:val="0"/>
          <w:sz w:val="20"/>
        </w:rPr>
        <w:t xml:space="preserve">· 해설: </w:t>
      </w:r>
      <w:r>
        <w:rPr>
          <w:b w:val="0"/>
          <w:i w:val="0"/>
          <w:sz w:val="20"/>
        </w:rPr>
        <w:t>폭행 또는 협박으로 사람에 대하여 추행을 한 자는 10년 이하의 징역 또는 1천500만원 이하의 벌금에 처합니다. 병의 사안은 술에 취해 폭행을 가하고 추행을 저지른 것으로 이 조문의 구성요건에 해당합니다.</w:t>
      </w:r>
    </w:p>
    <w:p>
      <w:r>
        <w:rPr>
          <w:b/>
          <w:i w:val="0"/>
          <w:color w:val="1F3864"/>
          <w:sz w:val="22"/>
        </w:rPr>
        <w:t>▸ 성폭력범죄의 처벌 등에 관한 특례법 제3조(특수강도강간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제3조(특수강도강간 등)</w:t>
        <w:br/>
        <w:t xml:space="preserve">① 「형법」 제319조제1항(주거침입), 제330조(야간주거침입절도), 제331조(특수절도) 또는 제342조(미수범. 다만, 제330조 및 제331조의 미수범으로 한정한다)의 죄를 범한 사람이 같은 법 제297조(강간), 제297조의2(유사강간), 제298조(강제추행) 및 제299조(준강간, 준강제추행)의 죄를 범한 경우에는 무기징역 또는 7년 이상의 징역에 처한다.  </w:t>
        <w:br/>
        <w:t>② 「형법」 제334조(특수강도) 또는 제342조(미수범. 다만, 제334조의 미수범으로 한정한다)의 죄를 범한 사람이 같은 법 제297조(강간), 제297조의2(유사강간), 제298조(강제추행) 및 제299조(준강간, 준강제추행)의 죄를 범한 경우에는 사형, 무기징역 또는 10년 이상의 징역에 처한다.</w:t>
      </w:r>
    </w:p>
    <w:p>
      <w:pPr>
        <w:ind w:left="320"/>
      </w:pPr>
      <w:r>
        <w:rPr>
          <w:b/>
          <w:i w:val="0"/>
          <w:sz w:val="20"/>
        </w:rPr>
        <w:t xml:space="preserve">· 해설: </w:t>
      </w:r>
      <w:r>
        <w:rPr>
          <w:b w:val="0"/>
          <w:i w:val="0"/>
          <w:sz w:val="20"/>
        </w:rPr>
        <w:t>주거침입죄를 범한 사람이 강간죄를 범한 경우에는 무기징역 또는 7년 이상의 징역에 처하는 가중처벌 규정이 적용됩니다. 이 조항은 주거침입과 강간이 결합된 경우 일반 강간죄보다 훨씬 무거운 형량을 부과하여 성폭력 범죄를 강력히 단속하려는 취지를 담고 있습니다. 갑의 사안은 이 조문의 적용 요건인 주거침입과 강간의 결합을 모두 충족하므로 해당 가중처벌 규정이 적용됩니다.</w:t>
      </w:r>
    </w:p>
    <w:p>
      <w:pPr>
        <w:pStyle w:val="Heading1"/>
      </w:pPr>
      <w:r>
        <w:t>【결론】</w:t>
      </w:r>
    </w:p>
    <w:p>
      <w:r>
        <w:t>갑은 주거침입과 강간의 결합으로 인해 성폭력범죄의 처벌 등에 관한 특례법 제3조에 따라 무기징역 또는 7년 이상의 징역이라는 중형을 피할 수 없습니다. 병은 폭행 수단으로 강제추행을 저질렀으므로 형법 제298조에 따라 10년 이하의 징역 또는 벌금형에 처해집니다. 수사 및 공판 과정에서 각 사건의 구체적 정황과 피해자의 진술을 통해 위법성과 책임 여부를 최종 확정해야 합니다.</w:t>
      </w:r>
    </w:p>
    <w:p>
      <w:pPr>
        <w:jc w:val="center"/>
      </w:pPr>
      <w:r>
        <w:rPr>
          <w:b w:val="0"/>
          <w:i w:val="0"/>
          <w:color w:val="666666"/>
        </w:rPr>
        <w:t>──────────────────────────────</w:t>
      </w:r>
    </w:p>
    <w:p>
      <w:r>
        <w:rPr>
          <w:b/>
          <w:i w:val="0"/>
          <w:sz w:val="20"/>
        </w:rPr>
        <w:t>인용 검증: 2/3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