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cs="맑은 고딕"/>
        </w:rPr>
        <w:t>법률 질의 답변서</w:t>
      </w:r>
    </w:p>
    <w:p>
      <w:pPr>
        <w:pStyle w:val="Heading1"/>
      </w:pPr>
      <w:r>
        <w:rPr>
          <w:rFonts w:ascii="맑은 고딕" w:hAnsi="맑은 고딕" w:eastAsia="맑은 고딕" w:cs="맑은 고딕"/>
        </w:rPr>
        <w:t>【질의 내용】</w:t>
      </w:r>
    </w:p>
    <w:p>
      <w:r>
        <w:rPr>
          <w:rFonts w:ascii="맑은 고딕" w:hAnsi="맑은 고딕" w:eastAsia="맑은 고딕" w:cs="맑은 고딕"/>
        </w:rPr>
        <w:t>계약을 위반한 경우 손해배상 책임의 근거는?</w:t>
      </w:r>
    </w:p>
    <w:p>
      <w:pPr>
        <w:pStyle w:val="Heading1"/>
      </w:pPr>
      <w:r>
        <w:rPr>
          <w:rFonts w:ascii="맑은 고딕" w:hAnsi="맑은 고딕" w:eastAsia="맑은 고딕" w:cs="맑은 고딕"/>
        </w:rPr>
        <w:t>【답변 요지】</w:t>
      </w:r>
    </w:p>
    <w:p>
      <w:r>
        <w:rPr>
          <w:rFonts w:ascii="맑은 고딕" w:hAnsi="맑은 고딕" w:eastAsia="맑은 고딕" w:cs="맑은 고딕"/>
        </w:rPr>
        <w:t>계약 위반으로 인한 손해배상 책임은 제공된 참고 조문 범위 내에서는 하도급거래 공정화에 관한 법률이나 독점규제 및 공정거래에 관한 법률의 위반 행위가 전제되어야 성립합니다. 원사업자나 사업자가 해당 법률의 특정 규정을 위반하여 타인에게 손해를 입힌 경우, 고의나 과실이 없음을 입증하지 못하면 배상책임을 집니다. 특히 하도급거래 공정화에 관한 법률 위반 시에는 일반 손해배상과 달리 손해액의 3 배 또는 5 배 이내에서 배상할 수 있는 규정이 적용됩니다.</w:t>
      </w:r>
    </w:p>
    <w:p>
      <w:pPr>
        <w:pStyle w:val="Heading1"/>
      </w:pPr>
      <w:r>
        <w:rPr>
          <w:rFonts w:ascii="맑은 고딕" w:hAnsi="맑은 고딕" w:eastAsia="맑은 고딕" w:cs="맑은 고딕"/>
        </w:rPr>
        <w:t>【관련 법령 및 해설】</w:t>
      </w:r>
    </w:p>
    <w:p>
      <w:r>
        <w:rPr>
          <w:rFonts w:ascii="맑은 고딕" w:hAnsi="맑은 고딕" w:eastAsia="맑은 고딕" w:cs="맑은 고딕"/>
          <w:b/>
          <w:i w:val="0"/>
          <w:color w:val="1F3864"/>
          <w:sz w:val="22"/>
        </w:rPr>
        <w:t>▸ 하도급거래 공정화에 관한 법률 제35조(손해배상 책임)</w:t>
      </w:r>
      <w:r>
        <w:rPr>
          <w:rFonts w:ascii="맑은 고딕" w:hAnsi="맑은 고딕" w:eastAsia="맑은 고딕" w:cs="맑은 고딕"/>
        </w:rPr>
        <w:t xml:space="preserve">   </w:t>
      </w:r>
      <w:r>
        <w:rPr>
          <w:rFonts w:ascii="맑은 고딕" w:hAnsi="맑은 고딕" w:eastAsia="맑은 고딕" w:cs="맑은 고딕"/>
          <w:b/>
          <w:i w:val="0"/>
          <w:color w:val="1A7F37"/>
          <w:sz w:val="18"/>
        </w:rPr>
        <w:t>[✓ 실존]</w:t>
      </w:r>
      <w:r>
        <w:rPr>
          <w:rFonts w:ascii="맑은 고딕" w:hAnsi="맑은 고딕" w:eastAsia="맑은 고딕" w:cs="맑은 고딕"/>
        </w:rPr>
        <w:t xml:space="preserve"> </w:t>
      </w:r>
      <w:r>
        <w:rPr>
          <w:rFonts w:ascii="맑은 고딕" w:hAnsi="맑은 고딕" w:eastAsia="맑은 고딕" w:cs="맑은 고딕"/>
          <w:b/>
          <w:i w:val="0"/>
          <w:color w:val="1A7F37"/>
          <w:sz w:val="18"/>
        </w:rPr>
        <w:t>[✓ 내용일치]</w:t>
      </w:r>
    </w:p>
    <w:p>
      <w:pPr>
        <w:ind w:left="320"/>
      </w:pPr>
      <w:r>
        <w:rPr>
          <w:rFonts w:ascii="맑은 고딕" w:hAnsi="맑은 고딕" w:eastAsia="맑은 고딕" w:cs="맑은 고딕"/>
          <w:b/>
          <w:i w:val="0"/>
          <w:sz w:val="18"/>
        </w:rPr>
        <w:t xml:space="preserve">· 조문 원문: </w:t>
      </w:r>
      <w:r>
        <w:rPr>
          <w:rFonts w:ascii="맑은 고딕" w:hAnsi="맑은 고딕" w:eastAsia="맑은 고딕" w:cs="맑은 고딕"/>
          <w:b w:val="0"/>
          <w:i w:val="0"/>
          <w:color w:val="333333"/>
          <w:sz w:val="18"/>
        </w:rPr>
        <w:t>제35조(손해배상 책임)</w:t>
        <w:br/>
        <w:t xml:space="preserve">① 원사업자가 이 법의 규정을 위반함으로써 손해를 입은 자가 있는 경우에는 그 자에게 발생한 손해에 대하여 배상책임을 진다. 다만, 원사업자가 고의 또는 과실이 없음을 입증한 경우에는 그러하지 아니하다.  </w:t>
        <w:br/>
        <w:t xml:space="preserve">② 원사업자가 제4조, 제8조제1항, 제10조, 제11조제1항ㆍ제2항, 제12조의3제4항 및 제19조를 위반함으로써 손해를 입은 자가 있는 경우에는 그 자에게 발생한 손해에 대하여 다음 각 호에서 정한 범위에서 배상책임을 진다. 다만, 원사업자가 고의 또는 과실이 없음을 입증한 경우에는 그러하지 아니하다.  </w:t>
        <w:br/>
        <w:t>1.  제4조, 제8조제1항, 제10조, 제11조제1항ㆍ제2항 및 제19조를 위반한 경우: 손해의 3배 이내</w:t>
        <w:br/>
        <w:t>2.  제12조의3제4항을 위반한 경우: 손해의 5배 이내</w:t>
        <w:br/>
        <w:t xml:space="preserve">③ 법원은 제2항의 배상액을 정할 때에는 다음 각 호의 사항을 고려하여야 한다.  </w:t>
        <w:br/>
        <w:t>1.  고의 또는 손해 발생의 우려를 인식한 정도</w:t>
        <w:br/>
        <w:t>2.  위반행위로 인하여 수급사업자와 다른 사람이 입은 피해규모</w:t>
        <w:br/>
        <w:t>3.  위법행위로 인하여 원사업자가 취득한 경제적 이익</w:t>
        <w:br/>
        <w:t>4.  위반행위에 따른 벌금 및 과징금</w:t>
        <w:br/>
        <w:t>5.  위반행위의 기간ㆍ횟수 등</w:t>
        <w:br/>
        <w:t>6.  원사업자의 재산상태</w:t>
        <w:br/>
        <w:t>7.  원사업자의 피해구제 노력의 정도</w:t>
        <w:br/>
        <w:t>④ 제1항 또는 제2항에 따라 손해배상청구의 소가 제기된 경우 「독점규제 및 공정거래에 관한 법률」 제110조 및 제115조를 준용한다.</w:t>
      </w:r>
    </w:p>
    <w:p>
      <w:pPr>
        <w:ind w:left="320"/>
      </w:pPr>
      <w:r>
        <w:rPr>
          <w:rFonts w:ascii="맑은 고딕" w:hAnsi="맑은 고딕" w:eastAsia="맑은 고딕" w:cs="맑은 고딕"/>
          <w:b/>
          <w:i w:val="0"/>
          <w:sz w:val="20"/>
        </w:rPr>
        <w:t xml:space="preserve">· 해설: </w:t>
      </w:r>
      <w:r>
        <w:rPr>
          <w:rFonts w:ascii="맑은 고딕" w:hAnsi="맑은 고딕" w:eastAsia="맑은 고딕" w:cs="맑은 고딕"/>
          <w:b w:val="0"/>
          <w:i w:val="0"/>
          <w:sz w:val="20"/>
        </w:rPr>
        <w:t>원사업자가 이 법을 위반하여 손해를 입힌 자에게 배상책임을 지되 고의나 과실이 없음을 입증하면 면책됩니다.</w:t>
      </w:r>
    </w:p>
    <w:p>
      <w:r>
        <w:rPr>
          <w:rFonts w:ascii="맑은 고딕" w:hAnsi="맑은 고딕" w:eastAsia="맑은 고딕" w:cs="맑은 고딕"/>
          <w:b/>
          <w:i w:val="0"/>
          <w:color w:val="1F3864"/>
          <w:sz w:val="22"/>
        </w:rPr>
        <w:t>▸ 독점규제 및 공정거래에 관한 법률 제109조(손해배상책임)</w:t>
      </w:r>
      <w:r>
        <w:rPr>
          <w:rFonts w:ascii="맑은 고딕" w:hAnsi="맑은 고딕" w:eastAsia="맑은 고딕" w:cs="맑은 고딕"/>
        </w:rPr>
        <w:t xml:space="preserve">   </w:t>
      </w:r>
      <w:r>
        <w:rPr>
          <w:rFonts w:ascii="맑은 고딕" w:hAnsi="맑은 고딕" w:eastAsia="맑은 고딕" w:cs="맑은 고딕"/>
          <w:b/>
          <w:i w:val="0"/>
          <w:color w:val="1A7F37"/>
          <w:sz w:val="18"/>
        </w:rPr>
        <w:t>[✓ 실존]</w:t>
      </w:r>
      <w:r>
        <w:rPr>
          <w:rFonts w:ascii="맑은 고딕" w:hAnsi="맑은 고딕" w:eastAsia="맑은 고딕" w:cs="맑은 고딕"/>
        </w:rPr>
        <w:t xml:space="preserve"> </w:t>
      </w:r>
      <w:r>
        <w:rPr>
          <w:rFonts w:ascii="맑은 고딕" w:hAnsi="맑은 고딕" w:eastAsia="맑은 고딕" w:cs="맑은 고딕"/>
          <w:b/>
          <w:i w:val="0"/>
          <w:color w:val="1A7F37"/>
          <w:sz w:val="18"/>
        </w:rPr>
        <w:t>[✓ 내용일치]</w:t>
      </w:r>
    </w:p>
    <w:p>
      <w:pPr>
        <w:ind w:left="320"/>
      </w:pPr>
      <w:r>
        <w:rPr>
          <w:rFonts w:ascii="맑은 고딕" w:hAnsi="맑은 고딕" w:eastAsia="맑은 고딕" w:cs="맑은 고딕"/>
          <w:b/>
          <w:i w:val="0"/>
          <w:sz w:val="18"/>
        </w:rPr>
        <w:t xml:space="preserve">· 조문 원문: </w:t>
      </w:r>
      <w:r>
        <w:rPr>
          <w:rFonts w:ascii="맑은 고딕" w:hAnsi="맑은 고딕" w:eastAsia="맑은 고딕" w:cs="맑은 고딕"/>
          <w:b w:val="0"/>
          <w:i w:val="0"/>
          <w:color w:val="333333"/>
          <w:sz w:val="18"/>
        </w:rPr>
        <w:t>제109조(손해배상책임)</w:t>
        <w:br/>
        <w:t>① 사업자 또는 사업자단체는 이 법을 위반함으로써 피해를 입은 자가 있는 경우에는 해당 피해자에 대하여 손해배상의 책임을 진다. 다만, 사업자 또는 사업자단체가 고의 또는 과실이 없음을 입증한 경우에는 그러하지 아니하다.</w:t>
        <w:br/>
        <w:t>② 제1항에도 불구하고 사업자 또는 사업자단체는 제40조, 제48조 또는 제51조제1항제1호를 위반함으로써 손해를 입은 자가 있는 경우에는 그 자에게 발생한 손해의 3배를 넘지 아니하는 범위에서 손해배상의 책임을 진다. 다만, 사업자 또는 사업자단체가 고의 또는 과실이 없음을 입증한 경우에는 손해배상의 책임을 지지 아니하고, 사업자가 제44조제1항 각 호의 어느 하나에 해당하는 경우 그 배상액은 해당 사업자가 제40조를 위반하여 손해를 입은 자에게 발생한 손해를 초과해서는 아니 된다.</w:t>
        <w:br/>
        <w:t>③ 법원은 제2항의 배상액을 정할 때에는 다음 각 호의 사항을 고려하여야 한다.</w:t>
        <w:br/>
        <w:t>1.  고의 또는 손해 발생의 우려를 인식한 정도</w:t>
        <w:br/>
        <w:t>2.  위반행위로 인한 피해 규모</w:t>
        <w:br/>
        <w:t>3.  위반행위로 사업자 또는 사업자단체가 취득한 경제적 이익</w:t>
        <w:br/>
        <w:t>4.  위반행위에 따른 벌금 및 과징금</w:t>
        <w:br/>
        <w:t>5.  위반행위의 기간ㆍ횟수 등</w:t>
        <w:br/>
        <w:t>6.  사업자의 재산상태</w:t>
        <w:br/>
        <w:t>7.  사업자 또는 사업자단체의 피해구제 노력의 정도</w:t>
        <w:br/>
        <w:t>④ 제44조제1항 각 호의 어느 하나에 해당하는 사업자가 제2항에 따른 배상책임을 지는 경우에는 다른 사업자와 공동으로 제40조를 위반하여 손해를 입은 자에게 발생한 손해를 초과하지 아니하는 범위에서 「민법」 제760조에 따른 공동불법행위자의 책임을 진다.</w:t>
      </w:r>
    </w:p>
    <w:p>
      <w:pPr>
        <w:ind w:left="320"/>
      </w:pPr>
      <w:r>
        <w:rPr>
          <w:rFonts w:ascii="맑은 고딕" w:hAnsi="맑은 고딕" w:eastAsia="맑은 고딕" w:cs="맑은 고딕"/>
          <w:b/>
          <w:i w:val="0"/>
          <w:sz w:val="20"/>
        </w:rPr>
        <w:t xml:space="preserve">· 해설: </w:t>
      </w:r>
      <w:r>
        <w:rPr>
          <w:rFonts w:ascii="맑은 고딕" w:hAnsi="맑은 고딕" w:eastAsia="맑은 고딕" w:cs="맑은 고딕"/>
          <w:b w:val="0"/>
          <w:i w:val="0"/>
          <w:sz w:val="20"/>
        </w:rPr>
        <w:t>사업자나 사업자단체가 이 법을 위반하여 피해를 입힌 자에게 배상책임을 지되 고의나 과실이 없음을 입증하면 면책됩니다.</w:t>
      </w:r>
    </w:p>
    <w:p>
      <w:pPr>
        <w:pStyle w:val="Heading1"/>
      </w:pPr>
      <w:r>
        <w:rPr>
          <w:rFonts w:ascii="맑은 고딕" w:hAnsi="맑은 고딕" w:eastAsia="맑은 고딕" w:cs="맑은 고딕"/>
        </w:rPr>
        <w:t>【결론】</w:t>
      </w:r>
    </w:p>
    <w:p>
      <w:r>
        <w:rPr>
          <w:rFonts w:ascii="맑은 고딕" w:hAnsi="맑은 고딕" w:eastAsia="맑은 고딕" w:cs="맑은 고딕"/>
        </w:rPr>
        <w:t>일반적인 계약 위반 사안은 제공된 참고 조문인 하도급거래 공정화법이나 독점규제법 위반 요건을 충족하지 못해 해당 조문으로 직접 판단하기 어렵습니다. 따라서 하도급 거래 관계에서 원사업자의 특정 금지 행위 위반이 있거나 독점규제법 위반 행위가 입증되어야 위 조문들을 근거로 손해배상을 청구할 수 있습니다. 실무에서는 계약 위반의 구체적 성격을 확인하여 해당 법률 위반 요건이 있는지 먼저 검토한 후, 고의나 과실 입증 책임이 원사업자나 사업자에게 있음을 고려하여 대응해야 합니다.</w:t>
      </w:r>
    </w:p>
    <w:p>
      <w:pPr>
        <w:jc w:val="center"/>
      </w:pPr>
      <w:r>
        <w:rPr>
          <w:rFonts w:ascii="맑은 고딕" w:hAnsi="맑은 고딕" w:eastAsia="맑은 고딕" w:cs="맑은 고딕"/>
          <w:b w:val="0"/>
          <w:i w:val="0"/>
          <w:color w:val="666666"/>
        </w:rPr>
        <w:t>──────────────────────────────</w:t>
      </w:r>
    </w:p>
    <w:p>
      <w:r>
        <w:rPr>
          <w:rFonts w:ascii="맑은 고딕" w:hAnsi="맑은 고딕" w:eastAsia="맑은 고딕" w:cs="맑은 고딕"/>
          <w:b/>
          <w:i w:val="0"/>
          <w:sz w:val="20"/>
        </w:rPr>
        <w:t>인용 검증: 2/2 법제처 확인  |  내용 일치: 2/2  |  환각: 0건</w:t>
      </w:r>
    </w:p>
    <w:p>
      <w:r>
        <w:rPr>
          <w:rFonts w:ascii="맑은 고딕" w:hAnsi="맑은 고딕" w:eastAsia="맑은 고딕" w:cs="맑은 고딕"/>
          <w:b w:val="0"/>
          <w:i w:val="0"/>
          <w:color w:val="666666"/>
          <w:sz w:val="18"/>
        </w:rPr>
        <w:t>자율 수정: 0회  |  생성: Qwen3.5-27B · 교차검증: DeepSeek-R1-Distill-Qwen-32B (온프레미스)</w:t>
      </w:r>
    </w:p>
    <w:p>
      <w:r>
        <w:rPr>
          <w:rFonts w:ascii="맑은 고딕" w:hAnsi="맑은 고딕" w:eastAsia="맑은 고딕" w:cs="맑은 고딕"/>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