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cs="맑은 고딕"/>
        </w:rPr>
        <w:t>법률 질의 답변서</w:t>
      </w:r>
    </w:p>
    <w:p>
      <w:pPr>
        <w:pStyle w:val="Heading1"/>
      </w:pPr>
      <w:r>
        <w:rPr>
          <w:rFonts w:ascii="맑은 고딕" w:hAnsi="맑은 고딕" w:eastAsia="맑은 고딕" w:cs="맑은 고딕"/>
        </w:rPr>
        <w:t>【질의 내용】</w:t>
      </w:r>
    </w:p>
    <w:p>
      <w:r>
        <w:rPr>
          <w:rFonts w:ascii="맑은 고딕" w:hAnsi="맑은 고딕" w:eastAsia="맑은 고딕" w:cs="맑은 고딕"/>
        </w:rPr>
        <w:t>내가 사람을 쳤는데 어떡함?</w:t>
      </w:r>
    </w:p>
    <w:p>
      <w:pPr>
        <w:pStyle w:val="Heading1"/>
      </w:pPr>
      <w:r>
        <w:rPr>
          <w:rFonts w:ascii="맑은 고딕" w:hAnsi="맑은 고딕" w:eastAsia="맑은 고딕" w:cs="맑은 고딕"/>
        </w:rPr>
        <w:t>【답변 요지】</w:t>
      </w:r>
    </w:p>
    <w:p>
      <w:r>
        <w:rPr>
          <w:rFonts w:ascii="맑은 고딕" w:hAnsi="맑은 고딕" w:eastAsia="맑은 고딕" w:cs="맑은 고딕"/>
        </w:rPr>
        <w:t>타인을 폭행하여 상해에 이르게 한 경우 형법상 상해죄가 성립할 수 있으며, 고의성이 인정되면 중한 형벌을 받을 수 있습니다. 만약 고의 없이 실수로 상해를 입힌 경우라면 과실상해죄로 처벌받게 됩니다. 소방법 위반으로 상해를 입힌 경우에는 소방법에 따라 더 무거운 형량이 적용될 수 있습니다.</w:t>
      </w:r>
    </w:p>
    <w:p>
      <w:pPr>
        <w:pStyle w:val="Heading1"/>
      </w:pPr>
      <w:r>
        <w:rPr>
          <w:rFonts w:ascii="맑은 고딕" w:hAnsi="맑은 고딕" w:eastAsia="맑은 고딕" w:cs="맑은 고딕"/>
        </w:rPr>
        <w:t>【관련 법령 및 해설】</w:t>
      </w:r>
    </w:p>
    <w:p>
      <w:r>
        <w:rPr>
          <w:rFonts w:ascii="맑은 고딕" w:hAnsi="맑은 고딕" w:eastAsia="맑은 고딕" w:cs="맑은 고딕"/>
          <w:b/>
          <w:i w:val="0"/>
          <w:color w:val="1F3864"/>
          <w:sz w:val="22"/>
        </w:rPr>
        <w:t>▸ 형법 제257조(상해, 존속상해)</w:t>
      </w:r>
      <w:r>
        <w:rPr>
          <w:rFonts w:ascii="맑은 고딕" w:hAnsi="맑은 고딕" w:eastAsia="맑은 고딕" w:cs="맑은 고딕"/>
        </w:rPr>
        <w:t xml:space="preserve">   </w:t>
      </w:r>
      <w:r>
        <w:rPr>
          <w:rFonts w:ascii="맑은 고딕" w:hAnsi="맑은 고딕" w:eastAsia="맑은 고딕" w:cs="맑은 고딕"/>
          <w:b/>
          <w:i w:val="0"/>
          <w:color w:val="1A7F37"/>
          <w:sz w:val="18"/>
        </w:rPr>
        <w:t>[✓ 실존]</w:t>
      </w:r>
      <w:r>
        <w:rPr>
          <w:rFonts w:ascii="맑은 고딕" w:hAnsi="맑은 고딕" w:eastAsia="맑은 고딕" w:cs="맑은 고딕"/>
        </w:rPr>
        <w:t xml:space="preserve"> </w:t>
      </w:r>
      <w:r>
        <w:rPr>
          <w:rFonts w:ascii="맑은 고딕" w:hAnsi="맑은 고딕" w:eastAsia="맑은 고딕" w:cs="맑은 고딕"/>
          <w:b/>
          <w:i w:val="0"/>
          <w:color w:val="1A7F37"/>
          <w:sz w:val="18"/>
        </w:rPr>
        <w:t>[✓ 내용일치]</w:t>
      </w:r>
    </w:p>
    <w:p>
      <w:pPr>
        <w:ind w:left="320"/>
      </w:pPr>
      <w:r>
        <w:rPr>
          <w:rFonts w:ascii="맑은 고딕" w:hAnsi="맑은 고딕" w:eastAsia="맑은 고딕" w:cs="맑은 고딕"/>
          <w:b/>
          <w:i w:val="0"/>
          <w:sz w:val="18"/>
        </w:rPr>
        <w:t xml:space="preserve">· 조문 원문: </w:t>
      </w:r>
      <w:r>
        <w:rPr>
          <w:rFonts w:ascii="맑은 고딕" w:hAnsi="맑은 고딕" w:eastAsia="맑은 고딕" w:cs="맑은 고딕"/>
          <w:b w:val="0"/>
          <w:i w:val="0"/>
          <w:color w:val="333333"/>
          <w:sz w:val="18"/>
        </w:rPr>
        <w:t>제257조(상해, 존속상해)</w:t>
        <w:br/>
        <w:t xml:space="preserve">①사람의 신체를 상해한 자는 7년 이하의 징역, 10년 이하의 자격정지 또는 1천만원 이하의 벌금에 처한다.  </w:t>
        <w:br/>
        <w:t xml:space="preserve">②자기 또는 배우자의 직계존속에 대하여 제1항의 죄를 범한 때에는 10년 이하의 징역 또는 1천500만원 이하의 벌금에 처한다.  </w:t>
        <w:br/>
        <w:t>③전 2항의 미수범은 처벌한다.</w:t>
      </w:r>
    </w:p>
    <w:p>
      <w:pPr>
        <w:ind w:left="320"/>
      </w:pPr>
      <w:r>
        <w:rPr>
          <w:rFonts w:ascii="맑은 고딕" w:hAnsi="맑은 고딕" w:eastAsia="맑은 고딕" w:cs="맑은 고딕"/>
          <w:b/>
          <w:i w:val="0"/>
          <w:sz w:val="20"/>
        </w:rPr>
        <w:t xml:space="preserve">· 해설: </w:t>
      </w:r>
      <w:r>
        <w:rPr>
          <w:rFonts w:ascii="맑은 고딕" w:hAnsi="맑은 고딕" w:eastAsia="맑은 고딕" w:cs="맑은 고딕"/>
          <w:b w:val="0"/>
          <w:i w:val="0"/>
          <w:sz w:val="20"/>
        </w:rPr>
        <w:t>이 조항은 타인의 신체를 해치거나 폭행하는 행위를 범죄로 규정하는 기본 근거가 됩니다. 고의적으로 타인을 상해시킨 행위는 이 조항에 따라 처벌받게 됩니다.</w:t>
      </w:r>
    </w:p>
    <w:p>
      <w:r>
        <w:rPr>
          <w:rFonts w:ascii="맑은 고딕" w:hAnsi="맑은 고딕" w:eastAsia="맑은 고딕" w:cs="맑은 고딕"/>
          <w:b/>
          <w:i w:val="0"/>
          <w:color w:val="1F3864"/>
          <w:sz w:val="22"/>
        </w:rPr>
        <w:t>▸ 형법 제266조(과실치상)</w:t>
      </w:r>
      <w:r>
        <w:rPr>
          <w:rFonts w:ascii="맑은 고딕" w:hAnsi="맑은 고딕" w:eastAsia="맑은 고딕" w:cs="맑은 고딕"/>
        </w:rPr>
        <w:t xml:space="preserve">   </w:t>
      </w:r>
      <w:r>
        <w:rPr>
          <w:rFonts w:ascii="맑은 고딕" w:hAnsi="맑은 고딕" w:eastAsia="맑은 고딕" w:cs="맑은 고딕"/>
          <w:b/>
          <w:i w:val="0"/>
          <w:color w:val="1A7F37"/>
          <w:sz w:val="18"/>
        </w:rPr>
        <w:t>[✓ 실존]</w:t>
      </w:r>
      <w:r>
        <w:rPr>
          <w:rFonts w:ascii="맑은 고딕" w:hAnsi="맑은 고딕" w:eastAsia="맑은 고딕" w:cs="맑은 고딕"/>
        </w:rPr>
        <w:t xml:space="preserve"> </w:t>
      </w:r>
      <w:r>
        <w:rPr>
          <w:rFonts w:ascii="맑은 고딕" w:hAnsi="맑은 고딕" w:eastAsia="맑은 고딕" w:cs="맑은 고딕"/>
          <w:b/>
          <w:i w:val="0"/>
          <w:color w:val="1A7F37"/>
          <w:sz w:val="18"/>
        </w:rPr>
        <w:t>[✓ 내용일치]</w:t>
      </w:r>
    </w:p>
    <w:p>
      <w:pPr>
        <w:ind w:left="320"/>
      </w:pPr>
      <w:r>
        <w:rPr>
          <w:rFonts w:ascii="맑은 고딕" w:hAnsi="맑은 고딕" w:eastAsia="맑은 고딕" w:cs="맑은 고딕"/>
          <w:b/>
          <w:i w:val="0"/>
          <w:sz w:val="18"/>
        </w:rPr>
        <w:t xml:space="preserve">· 조문 원문: </w:t>
      </w:r>
      <w:r>
        <w:rPr>
          <w:rFonts w:ascii="맑은 고딕" w:hAnsi="맑은 고딕" w:eastAsia="맑은 고딕" w:cs="맑은 고딕"/>
          <w:b w:val="0"/>
          <w:i w:val="0"/>
          <w:color w:val="333333"/>
          <w:sz w:val="18"/>
        </w:rPr>
        <w:t>제266조(과실치상)</w:t>
        <w:br/>
        <w:t xml:space="preserve">①과실로 인하여 사람의 신체를 상해에 이르게 한 자는 500만원 이하의 벌금, 구류 또는 과료에 처한다.  </w:t>
        <w:br/>
        <w:t>②제1항의 죄는 피해자의 명시한 의사에 반하여 공소를 제기할 수 없다.</w:t>
      </w:r>
    </w:p>
    <w:p>
      <w:pPr>
        <w:ind w:left="320"/>
      </w:pPr>
      <w:r>
        <w:rPr>
          <w:rFonts w:ascii="맑은 고딕" w:hAnsi="맑은 고딕" w:eastAsia="맑은 고딕" w:cs="맑은 고딕"/>
          <w:b/>
          <w:i w:val="0"/>
          <w:sz w:val="20"/>
        </w:rPr>
        <w:t xml:space="preserve">· 해설: </w:t>
      </w:r>
      <w:r>
        <w:rPr>
          <w:rFonts w:ascii="맑은 고딕" w:hAnsi="맑은 고딕" w:eastAsia="맑은 고딕" w:cs="맑은 고딕"/>
          <w:b w:val="0"/>
          <w:i w:val="0"/>
          <w:sz w:val="20"/>
        </w:rPr>
        <w:t>고의가 없이 실수로 타인의 신체를 상해에 이르게 한 경우 이 조항에 따라 처벌받습니다. 이 경우 벌금, 구류 또는 과료에 처해집니다.</w:t>
      </w:r>
    </w:p>
    <w:p>
      <w:pPr>
        <w:pStyle w:val="Heading1"/>
      </w:pPr>
      <w:r>
        <w:rPr>
          <w:rFonts w:ascii="맑은 고딕" w:hAnsi="맑은 고딕" w:eastAsia="맑은 고딕" w:cs="맑은 고딕"/>
        </w:rPr>
        <w:t>【결론】</w:t>
      </w:r>
    </w:p>
    <w:p>
      <w:r>
        <w:rPr>
          <w:rFonts w:ascii="맑은 고딕" w:hAnsi="맑은 고딕" w:eastAsia="맑은 고딕" w:cs="맑은 고딕"/>
        </w:rPr>
        <w:t>타인을 쳤을 때 고의성이 있는지, 실수인지, 그리고 소방법 위반과 관련이 있는지에 따라 적용되는 법률과 형량이 달라집니다. 즉시 경찰에 자수하거나 변호사의 도움을 받아 정확한 사실관계를 확인하는 것이 중요합니다. 고의성이 인정될 경우 형법상 상해죄로, 실수일 경우 과실상해죄로, 소방법 위반일 경우 소방법에 따라 처벌받을 수 있습니다.</w:t>
      </w:r>
    </w:p>
    <w:p>
      <w:pPr>
        <w:jc w:val="center"/>
      </w:pPr>
      <w:r>
        <w:rPr>
          <w:rFonts w:ascii="맑은 고딕" w:hAnsi="맑은 고딕" w:eastAsia="맑은 고딕" w:cs="맑은 고딕"/>
          <w:b w:val="0"/>
          <w:i w:val="0"/>
          <w:color w:val="666666"/>
        </w:rPr>
        <w:t>──────────────────────────────</w:t>
      </w:r>
    </w:p>
    <w:p>
      <w:r>
        <w:rPr>
          <w:rFonts w:ascii="맑은 고딕" w:hAnsi="맑은 고딕" w:eastAsia="맑은 고딕" w:cs="맑은 고딕"/>
          <w:b/>
          <w:i w:val="0"/>
          <w:sz w:val="20"/>
        </w:rPr>
        <w:t>인용 검증: 2/2 법제처 확인  |  내용 일치: 2/2  |  환각: 0건</w:t>
      </w:r>
    </w:p>
    <w:p>
      <w:r>
        <w:rPr>
          <w:rFonts w:ascii="맑은 고딕" w:hAnsi="맑은 고딕" w:eastAsia="맑은 고딕" w:cs="맑은 고딕"/>
          <w:b w:val="0"/>
          <w:i w:val="0"/>
          <w:color w:val="666666"/>
          <w:sz w:val="18"/>
        </w:rPr>
        <w:t>자율 수정: 1회  |  생성: Qwen3.5-27B · 교차검증: DeepSeek-R1-Distill-Qwen-32B (온프레미스)</w:t>
      </w:r>
    </w:p>
    <w:p>
      <w:r>
        <w:rPr>
          <w:rFonts w:ascii="맑은 고딕" w:hAnsi="맑은 고딕" w:eastAsia="맑은 고딕" w:cs="맑은 고딕"/>
          <w:b w:val="0"/>
          <w:i w:val="0"/>
          <w:color w:val="666666"/>
          <w:sz w:val="18"/>
        </w:rPr>
        <w:t>문서 생성: 2026-07-20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