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 w:cs="맑은 고딕"/>
        </w:rPr>
        <w:t>법률 질의 답변서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【질의 내용】</w:t>
      </w:r>
    </w:p>
    <w:p>
      <w:r>
        <w:rPr>
          <w:rFonts w:ascii="맑은 고딕" w:hAnsi="맑은 고딕" w:eastAsia="맑은 고딕" w:cs="맑은 고딕"/>
        </w:rPr>
        <w:t>물건 훔치명 어떻게 돼?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【답변 요지】</w:t>
      </w:r>
    </w:p>
    <w:p>
      <w:r>
        <w:rPr>
          <w:rFonts w:ascii="맑은 고딕" w:hAnsi="맑은 고딕" w:eastAsia="맑은 고딕" w:cs="맑은 고딕"/>
        </w:rPr>
        <w:t>타인의 재물을 몰래 가져가는 행위는 절도죄에 해당하여 6 년 이하의 징역 또는 1 천만원 이하의 벌금에 처해집니다. 만약 야간에 건물을 손괴하고 침입하여 재물을 가져간 경우 중절도죄로 1 년 이상 10 년 이하의 징역에 처해집니다. 또한 자신의 물건을 되찾는 과정에서 폭행이나 협박을 한 경우에도 절도죄와 같은 형벌을 받습니다.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【관련 법령 및 해설】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형법 제329조(절도)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제329조(절도) 타인의 재물을 절취한 자는 6년 이하의 징역 또는 1천만원 이하의 벌금에 처한다.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타인의 재물을 몰래 가져간 자는 6 년 이하의 징역 또는 1 천만원 이하의 벌금에 처합니다. 이 조문은 재물 절취 행위의 기본 구성요건과 그에 따른 형벌을 규정하고 있습니다. 타인의 점유를 침해하여 재물을 가져가는 모든 행위가 이 조문의 적용을 받습니다.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형법 제331조(특수절도)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제331조(특수절도)</w:t>
        <w:br/>
        <w:t>① 야간에 문이나 담 그 밖의 건조물의 일부를 손괴하고 제330조의 장소에 침입하여 타인의 재물을 절취한 자는 1년 이상 10년 이하의 징역에 처한다.</w:t>
        <w:br/>
        <w:t>② 흉기를 휴대하거나 2명 이상이 합동하여 타인의 재물을 절취한 자도 제1항의 형에 처한다.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야간에 문이나 담 등 건조물의 일부를 손괴하고 침입하여 타인의 재물을 절취한 자는 1 년 이상 10 년 이하의 징역에 처합니다. 이는 일반 절도보다 더 엄중한 처벌을 규정하여 주거침입과 절도를 결합한 중범죄를 규율합니다.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형법 제325조(점유강취, 준점유강취)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제325조(점유강취, 준점유강취)</w:t>
        <w:br/>
        <w:t>① 폭행 또는 협박으로 타인의 점유에 속하는 자기의 물건을 강취(强取)한 자는 7년 이하의 징역 또는 10년 이하의 자격정지에 처한다.</w:t>
        <w:br/>
        <w:t>② 타인의 점유에 속하는 자기의 물건을 취거(取去)하는 과정에서 그 물건의 탈환에 항거하거나 체포를 면탈하거나 범죄의 흔적을 인멸할 목적으로 폭행 또는 협박한 때에도 제1항의 형에 처한다.</w:t>
        <w:br/>
        <w:t>③ 제1항과 제2항의 미수범은 처벌한다.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타인의 점유에 속하는 자기의 물건을 되찾는 과정에서 항거하거나 체포를 면탈하거나 흔적을 인멸할 목적으로 폭행 또는 협박을 한 경우에도 절도죄와 같은 형에 처합니다. 이는 자신의 물건이라도 폭력적 수단으로 되찾는 행위를 강도죄로 간주하여 처벌합니다.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【결론】</w:t>
      </w:r>
    </w:p>
    <w:p>
      <w:r>
        <w:rPr>
          <w:rFonts w:ascii="맑은 고딕" w:hAnsi="맑은 고딕" w:eastAsia="맑은 고딕" w:cs="맑은 고딕"/>
        </w:rPr>
        <w:t>물건을 훔치는 행위는 기본적으로 절도죄로 처벌받으며, 야간 침입이나 폭력 수단이 동원되면 더 무거운 형량을 받습니다. 자신의 물건이라도 폭행이나 협박을 동반하여 되찾는 경우에도 절도죄와 동일한 처벌을 받으니 주의해야 합니다. 구체적인 사안에 따라 적용되는 조문과 형량이 달라지므로 정확한 사실관계를 바탕으로 판단해야 합니다.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rFonts w:ascii="맑은 고딕" w:hAnsi="맑은 고딕" w:eastAsia="맑은 고딕" w:cs="맑은 고딕"/>
          <w:b/>
          <w:i w:val="0"/>
          <w:sz w:val="20"/>
        </w:rPr>
        <w:t>인용 검증: 3/3 법제처 확인  |  내용 일치: 3/3  |  환각: 0건</w:t>
      </w:r>
    </w:p>
    <w:p>
      <w:r>
        <w:rPr>
          <w:rFonts w:ascii="맑은 고딕" w:hAnsi="맑은 고딕" w:eastAsia="맑은 고딕" w:cs="맑은 고딕"/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rFonts w:ascii="맑은 고딕" w:hAnsi="맑은 고딕" w:eastAsia="맑은 고딕" w:cs="맑은 고딕"/>
          <w:b w:val="0"/>
          <w:i w:val="0"/>
          <w:color w:val="666666"/>
          <w:sz w:val="18"/>
        </w:rPr>
        <w:t>문서 생성: 2026-07-21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