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갑과 을은 공모하여 한 회사에 허위 계약서와 허위 자료를 제출하는 방식으로 수천만 원의 부당한 이익을 취한 혐의로 기소되었고, 공동피고인으로 함께 재판을 받게 되었다. 갑은 자신에 대한 불리한 진술이 을에게서 나올 것을 우려하여, 자신의 변호인을 통해 변론의 분리를 신청하였다. 한편, 을은 1심 판결에서 사실인정을 잘못했다고 주장하며 항소하였고, 그 항소 이유는 갑에게도 동일하게 적용될 수 있는 논점이었다.</w:t>
        <w:br/>
        <w:br/>
        <w:t>[질문] 갑과 을이 공동으로 저지른 범죄에 대해 법원이 변론을 분리하거나 병합할 수 있는 경우는 언제이며, 을이 항소한 경우에도 갑을 위한 원심판결의 파기가 가능한 경우는 어떤 때인가?</w:t>
        <w:br/>
        <w:br/>
        <w:t>위 상황에 적용되는 대한민국 법조문을 '법령명 제N조' 형식으로 구체적으로 인용하여 근거와 함께 답하세요.</w:t>
      </w:r>
    </w:p>
    <w:p>
      <w:pPr>
        <w:pStyle w:val="Heading1"/>
      </w:pPr>
      <w:r>
        <w:t>【답변 요지】</w:t>
      </w:r>
    </w:p>
    <w:p>
      <w:r>
        <w:t>법원은 필요하다고 인정할 때 직권이나 당사자의 신청에 따라 공동피고인 간 변론을 분리하거나 병합할 수 있습니다. 공동피고인 중 한 명이 상고하여 원심판결이 파기될 때, 그 파기 이유가 다른 공동피고인에게도 공통되면 그들에게도 판결을 파기해야 합니다. 이는 공동범죄 사건에서 각 피고인의 방어권 보장과 재판의 효율성을 동시에 고려한 규정입니다.</w:t>
      </w:r>
    </w:p>
    <w:p>
      <w:pPr>
        <w:pStyle w:val="Heading1"/>
      </w:pPr>
      <w:r>
        <w:t>【관련 법령 및 해설】</w:t>
      </w:r>
    </w:p>
    <w:p>
      <w:r>
        <w:rPr>
          <w:b/>
          <w:i w:val="0"/>
          <w:color w:val="1F3864"/>
          <w:sz w:val="22"/>
        </w:rPr>
        <w:t>▸ 형사소송법 제300조(변론의 분리와 병합)</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제300조(변론의 분리와 병합) 법원은 필요하다고 인정한 때에는 직권 또는 검사, 피고인이나 변호인의 신청에 의하여 결정으로 변론을 분리하거나 병합할 수 있다.</w:t>
      </w:r>
    </w:p>
    <w:p>
      <w:pPr>
        <w:ind w:left="320"/>
      </w:pPr>
      <w:r>
        <w:rPr>
          <w:b/>
          <w:i w:val="0"/>
          <w:sz w:val="20"/>
        </w:rPr>
        <w:t xml:space="preserve">· 해설: </w:t>
      </w:r>
      <w:r>
        <w:rPr>
          <w:b w:val="0"/>
          <w:i w:val="0"/>
          <w:sz w:val="20"/>
        </w:rPr>
        <w:t>법원은 필요하다고 인정할 때 직권 또는 검사, 피고인이나 변호인의 신청에 따라 결정으로 변론을 분리하거나 병합할 수 있습니다. 이 조항은 공동피고인 사건에서 각 피고인의 방어권 보장을 위해 변론 절차를 개별화하거나 통합할 수 있는 근거를 제공합니다. 갑이 을의 불리한 진술을 우려하여 신청한 경우, 법원은 이 조항에 따라 변론 분리를 결정할 수 있습니다.</w:t>
      </w:r>
    </w:p>
    <w:p>
      <w:r>
        <w:rPr>
          <w:b/>
          <w:i w:val="0"/>
          <w:color w:val="1F3864"/>
          <w:sz w:val="22"/>
        </w:rPr>
        <w:t>▸ 형사소송법 제392조(공동피고인을 위한 파기)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제392조(공동피고인을 위한 파기) 피고인의 이익을 위하여 원심판결을 파기하는 경우에 파기의 이유가 상고한 공동피고인에 공통되는 때에는 그 공동피고인에 대하여도 원심판결을 파기하여야 한다.</w:t>
      </w:r>
    </w:p>
    <w:p>
      <w:pPr>
        <w:ind w:left="320"/>
      </w:pPr>
      <w:r>
        <w:rPr>
          <w:b/>
          <w:i w:val="0"/>
          <w:sz w:val="20"/>
        </w:rPr>
        <w:t xml:space="preserve">· 해설: </w:t>
      </w:r>
      <w:r>
        <w:rPr>
          <w:b w:val="0"/>
          <w:i w:val="0"/>
          <w:sz w:val="20"/>
        </w:rPr>
        <w:t>피고인의 이익을 위해 원심판결을 파기하는 경우 파기 이유가 상고한 공동피고인에게 공통되면 그 공동피고인에게도 원심판결을 파기해야 합니다. 을이 항소하여 사실인정 오류를 주장하고 그 이유가 갑에게도 적용된다면, 갑을 위한 파기 사유가 성립합니다. 이는 공동피고인 간의 형평성을 유지하고 불리한 판결이 확대되지 않도록 하는 장치입니다.</w:t>
      </w:r>
    </w:p>
    <w:p>
      <w:pPr>
        <w:pStyle w:val="Heading1"/>
      </w:pPr>
      <w:r>
        <w:t>【결론】</w:t>
      </w:r>
    </w:p>
    <w:p>
      <w:r>
        <w:t>갑과 을의 변론 분리는 법원이 필요하다고 인정할 때 가능하며, 을의 항소로 인한 파기 사유가 갑에게도 공통되면 갑에 대한 원심판결도 파기됩니다. 실무에서는 변론 분리 신청 시 구체적인 사유를 명확히 제시하고, 항소 시 공동피고인 간 공통된 오류를 강조해야 합니다. 구제방법으로는 변론 분리 결정 신청과 항소이유서 작성 시 공동피고인 간 공통된 법리 오류를 명시하는 것이 중요합니다.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