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갑과 을은 금전 거래를 하였으나, 갑이 을에게 빌린 돈을 갚지 않아 을이 법원에 소송을 제기하였습니다. 결국 법원은 을의 손을 들어주며 전부 인용용 판결을 내렸고, 이 판결에 따라 집행문이 부여되었습니다. 하지만 갑은 판결에 대해 이의를 제기하고자 합니다. 또한, 을이 갑의 재산을 압류하기 위해 집행문을 받았는데, 갑은 이 집행문부여의 정당성에도 이의를 제기하고자 합니다.</w:t>
        <w:br/>
        <w:br/>
        <w:t>[질문] 갑은 을과의 소송에서 확정된 청구에 대해 이의를 제기하려면 어떻게 해야 하며, 을이 받은 집행문부여에 대한 이의는 어떤 절차를 통해 진행해야 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갑이 확정된 판결에 따른 청구 자체에 이의를 제기하려면 제1심 판결법원에 청구에 관한 이의의 소를 제기해야 합니다. 반면 집행문 부여의 정당성에 이의를 제기하는 경우 집행문 부여에 대한 이의의 소를 제기할 수 있으며, 이때는 채무자의 이의 신청 권한이 영향을 받지 않습니다. 두 절차는 각각 청구의 실체적 다툼과 집행문 부여 절차의 적법성을 다투는 별개의 사안으로 구분됩니다.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민사집행법 제44조(청구에 관한 이의의 소)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제44조(청구에 관한 이의의 소)</w:t>
        <w:br/>
        <w:t>①채무자가 판결에 따라 확정된 청구에 관하여 이의하려면 제1심 판결법원에 청구에 관한 이의의 소를 제기하여야 한다.</w:t>
        <w:br/>
        <w:t>②제1항의 이의는 그 이유가 변론이 종결된 뒤(변론 없이 한 판결의 경우에는 판결이 선고된 뒤)에 생긴 것이어야 한다.</w:t>
        <w:br/>
        <w:t>③이의이유가 여러 가지인 때에는 동시에 주장하여야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채무자가 판결에 따라 확정된 청구에 관하여 이의를 제기할 때에는 반드시 제1심 판결법원에 청구에 관한 이의의 소를 제기해야 합니다. 이 조항은 확정 판결의 실체적 내용에 대한 다툼을 해결하기 위한 기본 절차를 규정하고 있습니다.</w:t>
      </w:r>
    </w:p>
    <w:p>
      <w:r>
        <w:rPr>
          <w:b/>
          <w:i w:val="0"/>
          <w:color w:val="1F3864"/>
          <w:sz w:val="22"/>
        </w:rPr>
        <w:t>▸ 민사집행법 제45조(집행문부여에 대한 이의의 소)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제45조(집행문부여에 대한 이의의 소) 제30조제2항과 제31조의 경우에 채무자가 집행문부여에 관하여 증명된 사실에 의한 판결의 집행력을 다투거나, 인정된 승계에 의한 판결의 집행력을 다투는 때에는 제44조의 규정을 준용한다. 다만, 이 경우에도 제34조의 규정에 따라 집행문부여에 대하여 이의를 신청할 수 있는 채무자의 권한은 영향을 받지 아니한다.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채무자가 집행문 부여에 관하여 증명된 사실에 의한 판결의 집행력을 다투거나 인정된 승계에 의한 판결의 집행력을 다투는 때에는 제44조의 규정을 준용합니다. 다만 이 경우에도 채무자가 집행문 부여에 대하여 이의를 신청할 수 있는 권한은 영향을 받지 않습니다.</w:t>
      </w:r>
    </w:p>
    <w:p>
      <w:r>
        <w:rPr>
          <w:b/>
          <w:i w:val="0"/>
          <w:color w:val="1F3864"/>
          <w:sz w:val="22"/>
        </w:rPr>
        <w:t>▸ (미지정) 제44조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채무자가 판결에 따라 확정된 청구에 관하여 이의를 제기할 때에는 반드시 제1심 판결법원에 청구에 관한 이의의 소를 제기해야 합니다. 이 조항은 확정 판결의 실체적 내용에 대한 다툼을 해결하기 위한 기본 절차를 규정하고 있습니다.</w:t>
      </w:r>
    </w:p>
    <w:p>
      <w:r>
        <w:rPr>
          <w:b/>
          <w:i w:val="0"/>
          <w:color w:val="1F3864"/>
          <w:sz w:val="22"/>
        </w:rPr>
        <w:t>▸ 민사집행법 제154조(배당이의의 소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제154조(배당이의의 소 등)</w:t>
        <w:br/>
        <w:t>①집행력 있는 집행권원의 정본을 가지지 아니한 채권자(가압류채권자를 제외한다)에 대하여 이의한 채무자와 다른 채권자에 대하여 이의한 채권자는 배당이의의 소를 제기하여야 한다.</w:t>
        <w:br/>
        <w:t>②집행력 있는 집행권원의 정본을 가진 채권자에 대하여 이의한 채무자는 청구이의의 소를 제기하여야 한다.</w:t>
        <w:br/>
        <w:t>③이의한 채권자나 채무자가 배당기일부터 1주 이내에 집행법원에 대하여 제1항의 소를 제기한 사실을 증명하는 서류를 제출하지 아니한 때 또는 제2항의 소를 제기한 사실을 증명하는 서류와 그 소에 관한 집행정지재판의 정본을 제출하지 아니한 때에는 이의가 취하된 것으로 본다.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집행력 있는 집행권원의 정본을 가진 채권자에 대하여 이의한 채무자는 청구이의의 소를 제기하여야 합니다. 이는 집행권원을 가진 채권자에 대한 이의 시 소를 제기해야 할 의무를 명확히 하고 있습니다.</w:t>
      </w:r>
    </w:p>
    <w:p>
      <w:pPr>
        <w:pStyle w:val="Heading1"/>
      </w:pPr>
      <w:r>
        <w:t>【결론】</w:t>
      </w:r>
    </w:p>
    <w:p>
      <w:r>
        <w:t>갑은 확정 판결의 내용 자체에 이의할 경우 제1심 법원에 청구이의의 소를 제기하고, 집행문 부여 절차의 정당성에 이의할 경우 집행문 부여에 대한 이의의 소를 제기해야 합니다. 두 절차는 서로 다른 법적 근거와 절차를 따르므로 사안의 성격에 따라 정확한 소를 제기해야 합니다. 실무에서는 이의 사유가 실체적 청구의 부당성인지 집행문 부여 절차의 하자인지를 명확히 구분하여 대응해야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3/4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