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 자산운용회사는 두 개의 투자신탁, A신탁과 B신탁을 운영하고 있습니다. 갑 자산운용회사는 이 두 투자신탁을 합병하여 운영 효율을 높이고자 합니다. 이 과정에서 갑은 합병 계획서를 작성하여 각 투자신탁의 수익자총회의 승인을 받아야 하며, 합병 계획서에는 특정한 사항들이 포함되어야 합니다. 또한, 합병의 효력 발생 시기에 대한 규정을 준수해야 합니다.</w:t>
        <w:br/>
        <w:br/>
        <w:t>[질문] 갑 자산운용회사가 A신탁과 B신탁을 합병하고자 할 때, 합병 계획서에는 어떤 내용이 포함되어야 하며, 합병 후 그 효력은 언제 발생하는가?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갑 자산운용회사는 투자신탁 합병 시 신탁원본 증가액, 수익증권 배정, 현금 지급 내용, 총회 회일, 합병일 등 5 가지 핵심 사항을 기재한 합병계획서를 작성해야 합니다. 이 계획서는 합병하는 각 투자신탁의 수익자총회 결의를 거쳐야 하며, 소규모 합병 등 예외 규정이 적용되지 않는 한 필수적입니다. 합병의 효력은 존속하는 투자신탁의 자산운용회사가 관련 규정에 따라 보고를 한 시점에 발생합니다.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자본시장과 금융투자업에 관한 법률 제193조(투자신탁의 합병)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제193조(투자신탁의 합병)</w:t>
        <w:br/>
        <w:t>① 투자신탁을 설정한 집합투자업자는 그 집합투자업자가 운용하는 다른 투자신탁을 흡수하는 방법으로 투자신탁을 합병할 수 있다.</w:t>
        <w:br/>
        <w:t xml:space="preserve">② 투자신탁을 설정한 집합투자업자는 제1항에 따라 투자신탁을 합병하고자 하는 경우 다음 각 호의 사항을 기재한 합병계획서를 작성하여 합병하는 각 투자신탁의 수익자총회의 결의를 거쳐야 한다. 다만, 건전한 거래질서를 해할 우려가 적은 소규모 투자신탁의 합병 등 대통령령으로 정하는 경우는 제외한다.  </w:t>
        <w:br/>
        <w:t>1.  투자신탁의 합병으로 인하여 존속하는 투자신탁의 증가하는 신탁원본의 가액 및 수익증권의 좌수</w:t>
        <w:br/>
        <w:t>2.  투자신탁의 합병으로 인하여 소멸하는 투자신탁의 수익자에게 발행하는 수익증권의 배정에 관한 사항</w:t>
        <w:br/>
        <w:t>3.  투자신탁의 합병으로 인하여 소멸하는 투자신탁의 수익자에게 현금을 지급하는 경우 그 내용</w:t>
        <w:br/>
        <w:t>4.  합병하는 각 투자신탁의 수익자총회의 회일</w:t>
        <w:br/>
        <w:t>5.  합병을 할 날</w:t>
        <w:br/>
        <w:t>6.  투자신탁의 합병으로 인하여 존속하는 투자신탁의 신탁계약을 변경하는 경우 그 내용</w:t>
        <w:br/>
        <w:t>7.  그 밖에 대통령령으로 정하는 사항</w:t>
        <w:br/>
        <w:t>③ 「상법」 제527조의5제1항 및 제3항은 채권자가 있는 투자신탁이 합병하는 경우에 준용한다. 이 경우 "회사"는 각각 "집합투자업자"로, "주주총회"는 "수익자총회"로 본다.</w:t>
        <w:br/>
        <w:t>④ 투자신탁을 설정한 집합투자업자는 수익자총회일의 2주 전부터 합병 후 6개월이 경과하는 날까지 다음 각 호의 서류를 본점 및 투자매매업자 또는 투자중개업자의 영업소에 비치하여야 한다. 이 경우 그 투자신탁의 수익자 및 채권자는 영업시간 중 언제든지 그 서류를 열람할 수 있으며, 그 서류의 등본 또는 초본의 교부를 청구할 수 있다.</w:t>
        <w:br/>
        <w:t>1.  합병하는 각 투자신탁의 최종의 결산서류</w:t>
        <w:br/>
        <w:t>2.  합병으로 인하여 소멸하는 투자신탁의 수익자에게 발행하는 수익증권의 배정에 관한 사항 및 그 이유를 기재한 서면</w:t>
        <w:br/>
        <w:t>3.  합병계획서</w:t>
        <w:br/>
        <w:t xml:space="preserve">⑤ 투자신탁을 설정한 집합투자업자는 제1항에 따라 투자신탁을 합병한 경우에는 그 사실을 지체 없이 금융위원회에 보고하여야 한다. 이 경우 합병되는 투자신탁의 수익증권이 증권시장에 상장되어 있는 때에는 거래소에도 보고하여야 한다.  </w:t>
        <w:br/>
        <w:t xml:space="preserve">⑥ 투자신탁의 합병은 존속하는 투자신탁의 집합투자업자가 제5항에 따라 금융위원회에 보고를 한 때에 그 효력이 발생한다. 이 경우 소멸하는 투자신탁은 해지된 것으로 본다.  </w:t>
        <w:br/>
        <w:t>⑦ 합병 후 존속하는 투자신탁은 합병으로 인하여 소멸된 투자신탁의 권리ㆍ의무를 승계한다.</w:t>
        <w:br/>
        <w:t>⑧ 수익증권의 합병가액 산정방식, 수익자총회 승인사항의 수익자 통지, 그 밖에 투자신탁의 합병에 관하여 필요한 사항은 대통령령으로 정한다.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투자신탁을 설정한 집합투자업자는 합병 시 신탁원본 증가액, 수익증권 배정, 현금 지급 내용, 총회 회일, 합병일 등을 기재한 계획서를 작성하여 각 수익자총회의 결의를 얻어야 합니다. 다만 건전한 거래질서를 해할 우려가 적은 소규모 합병 등 대통령령으로 정하는 경우에는 이 절차를 생략할 수 있습니다.</w:t>
      </w:r>
    </w:p>
    <w:p>
      <w:r>
        <w:rPr>
          <w:b/>
          <w:i w:val="0"/>
          <w:color w:val="1F3864"/>
          <w:sz w:val="22"/>
        </w:rPr>
        <w:t>▸ 간접투자자산 운용업법 제106조 제2항</w:t>
      </w:r>
      <w:r>
        <w:t xml:space="preserve">   </w:t>
      </w:r>
      <w:r>
        <w:rPr>
          <w:b/>
          <w:i w:val="0"/>
          <w:color w:val="C02B2B"/>
          <w:sz w:val="18"/>
        </w:rPr>
        <w:t>[✗ 미존재]</w:t>
      </w:r>
      <w:r>
        <w:t xml:space="preserve"> </w:t>
      </w:r>
      <w:r>
        <w:rPr>
          <w:b/>
          <w:i w:val="0"/>
          <w:color w:val="666666"/>
          <w:sz w:val="18"/>
        </w:rPr>
        <w:t>[—]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(법제처에 실존하지 않는 조문)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투자신탁의 합병은 존속하는 투자신탁의 자산운용회사가 제108조제1항의 규정에 의한 보고를 한 때에 그 효력이 발생합니다.</w:t>
      </w:r>
    </w:p>
    <w:p>
      <w:r>
        <w:rPr>
          <w:b/>
          <w:i w:val="0"/>
          <w:color w:val="1F3864"/>
          <w:sz w:val="22"/>
        </w:rPr>
        <w:t>▸ (미지정) 제108조 제1항</w:t>
      </w:r>
      <w:r>
        <w:t xml:space="preserve">   </w:t>
      </w:r>
      <w:r>
        <w:rPr>
          <w:b/>
          <w:i w:val="0"/>
          <w:color w:val="666666"/>
          <w:sz w:val="18"/>
        </w:rPr>
        <w:t>[⚠ 확인필요]</w:t>
      </w:r>
      <w:r>
        <w:t xml:space="preserve"> </w:t>
      </w:r>
      <w:r>
        <w:rPr>
          <w:b/>
          <w:i w:val="0"/>
          <w:color w:val="666666"/>
          <w:sz w:val="18"/>
        </w:rPr>
        <w:t>[—]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(법제처 확인 불가 — 법령명·항 재확인 필요)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(해설 없음)</w:t>
      </w:r>
    </w:p>
    <w:p>
      <w:pPr>
        <w:pStyle w:val="Heading1"/>
      </w:pPr>
      <w:r>
        <w:t>【결론】</w:t>
      </w:r>
    </w:p>
    <w:p>
      <w:r>
        <w:t>자본시장과 금융투자업에 관한 법률 제193조에 따라 투자신탁을 합병하고자 하는 경우에는 합병계획서를 작성하여 각 투자신탁의 수익자총회의 결의를 거쳐야 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1/3 법제처 확인  |  내용 일치: 1/1  |  환각: 1건</w:t>
      </w:r>
    </w:p>
    <w:p>
      <w:r>
        <w:rPr>
          <w:b w:val="0"/>
          <w:i w:val="0"/>
          <w:color w:val="666666"/>
          <w:sz w:val="18"/>
        </w:rPr>
        <w:t>자율 수정: 3회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