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 주식회사의 대표인 갑씨는 회사 업무와 관련하여 조세범 처벌법에서 규정하는 범칙행위를 저질렀다. 이로 인해 회사와 갑씨 모두 처벌 대상이 되었다. 사건이 발생한 후, 갑 주식회사는 위반행위를 방지하기 위해 상당한 주의와 감독을 게을리하지 않았다고 주장하고 있다.</w:t>
        <w:br/>
        <w:br/>
        <w:t>[질문] 갑 주식회사의 대표 갑씨가 저지른 범칙행위에 대한 공소시효는 어떻게 되는가? 또한, 갑 주식회사가 벌금형을 피할 수 있는 조건은 무엇인가?</w:t>
        <w:br/>
        <w:br/>
        <w:t>위 상황에 적용되는 대한민국 법조문을 '법령명 제N조' 형식으로 구체적으로 인용하여 근거와 함께 답하세요.</w:t>
      </w:r>
    </w:p>
    <w:p>
      <w:pPr>
        <w:pStyle w:val="Heading1"/>
      </w:pPr>
      <w:r>
        <w:t>【답변 요지】</w:t>
      </w:r>
    </w:p>
    <w:p>
      <w:r>
        <w:t>갑 주식회사의 대표인 갑씨가 저지른 범칙행위에 대한 공소시효는 원칙적으로 7 년이며, 조세범 처벌법 제22조에 따른 경우에는 10 년으로 연장됩니다. 갑 주식회사가 벌금형을 피할 수 있는 조건은 위반행위를 방지하기 위해 업무에 관하여 상당한 주의와 감독을 게을리하지 않았음을 입증하는 것입니다. 만약 회사가 이러한 주의와 감독 의무를 다하지 못했음이 인정되면 대표자의 행위에 대해 회사도 벌금형을 부과받게 됩니다.</w:t>
      </w:r>
    </w:p>
    <w:p>
      <w:pPr>
        <w:pStyle w:val="Heading1"/>
      </w:pPr>
      <w:r>
        <w:t>【관련 법령 및 해설】</w:t>
      </w:r>
    </w:p>
    <w:p>
      <w:r>
        <w:rPr>
          <w:b/>
          <w:i w:val="0"/>
          <w:color w:val="1F3864"/>
          <w:sz w:val="22"/>
        </w:rPr>
        <w:t>▸ 조세범 처벌법 제22조(공소시효 기간)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제22조(공소시효 기간) 제3조부터 제14조까지에 규정된 범칙행위의 공소시효는 7년이 지나면 완성된다. 다만, 제18조에 따른 행위자가 「특정범죄가중처벌 등에 관한 법률」 제8조의 적용을 받는 경우에는 제18조에 따른 법인에 대한 공소시효는 10년이 지나면 완성된다.</w:t>
      </w:r>
    </w:p>
    <w:p>
      <w:pPr>
        <w:ind w:left="320"/>
      </w:pPr>
      <w:r>
        <w:rPr>
          <w:b/>
          <w:i w:val="0"/>
          <w:sz w:val="20"/>
        </w:rPr>
        <w:t xml:space="preserve">· 해설: </w:t>
      </w:r>
      <w:r>
        <w:rPr>
          <w:b w:val="0"/>
          <w:i w:val="0"/>
          <w:sz w:val="20"/>
        </w:rPr>
        <w:t>조세범 처벌법 제 3 조부터 제 14 조까지의 범칙행위에 대한 공소시효는 7 년으로 규정되어 있습니다. 다만, 양벌 규정에 따라 처벌받는 행위자가 조세범 처벌법 제 18 조의 적용을 받는 경우에는 법인에 대한 공소시효가 10 년으로 길어집니다.</w:t>
      </w:r>
    </w:p>
    <w:p>
      <w:r>
        <w:rPr>
          <w:b/>
          <w:i w:val="0"/>
          <w:color w:val="1F3864"/>
          <w:sz w:val="22"/>
        </w:rPr>
        <w:t>▸ 조세범 처벌법 제18조(양벌 규정)</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제18조(양벌 규정) 법인(「국세기본법」 제13조에 따른 법인으로 보는 단체를 포함한다. 이하 같다)의 대표자, 법인 또는 개인의 대리인, 사용인, 그 밖의 종업원이 그 법인 또는 개인의 업무에 관하여 이 법에서 규정하는 범칙행위(「국제조세조정에 관한 법률」 제57조를 위반한 행위는 제외한다)를 하면 그 행위자를 벌할 뿐만 아니라 그 법인 또는 개인에게도 해당 조문의 벌금형을 과(科)한다. 다만, 법인 또는 개인이 그 위반행위를 방지하기 위하여 해당 업무에 관하여 상당한 주의와 감독을 게을리하지 아니한 경우에는 그러하지 아니하다.</w:t>
      </w:r>
    </w:p>
    <w:p>
      <w:pPr>
        <w:ind w:left="320"/>
      </w:pPr>
      <w:r>
        <w:rPr>
          <w:b/>
          <w:i w:val="0"/>
          <w:sz w:val="20"/>
        </w:rPr>
        <w:t xml:space="preserve">· 해설: </w:t>
      </w:r>
      <w:r>
        <w:rPr>
          <w:b w:val="0"/>
          <w:i w:val="0"/>
          <w:sz w:val="20"/>
        </w:rPr>
        <w:t>법인의 대표자나 종업원이 업무와 관련하여 범칙행위를 하면 행위자뿐만 아니라 법인에도 벌금형을 부과하지만, 법인이 위반행위 방지를 위해 상당한 주의와 감독을 게을리하지 않은 경우에는 예외로 합니다. 이 조항은 법인의 대표자가 범칙행위를 저질렀을 때 법인의 책임 소재를 판단하는 핵심 근거가 됩니다. 회사가 주의와 감독 의무를 다했음을 증명하면 양벌 규정이 적용되지 않아 벌금형 부과를 면할 수 있습니다.</w:t>
      </w:r>
    </w:p>
    <w:p>
      <w:r>
        <w:rPr>
          <w:b/>
          <w:i w:val="0"/>
          <w:color w:val="1F3864"/>
          <w:sz w:val="22"/>
        </w:rPr>
        <w:t>▸ 조세범 처벌법 제3조(조세 포탈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제3조(조세 포탈 등)</w:t>
        <w:br/>
        <w:t>① 사기나 그 밖의 부정한 행위로써 조세를 포탈하거나 조세의 환급ㆍ공제를 받은 자는 2년 이하의 징역 또는 포탈세액, 환급ㆍ공제받은 세액(이하 "포탈세액등"이라 한다)의 2배 이하에 상당하는 벌금에 처한다. 다만, 다음 각 호의 어느 하나에 해당하는 경우에는 3년 이하의 징역 또는 포탈세액등의 3배 이하에 상당하는 벌금에 처한다.</w:t>
        <w:br/>
        <w:t>1.  포탈세액등이 3억원 이상이고, 그 포탈세액등이 신고ㆍ납부하여야 할 세액(납세의무자의 신고에 따라 정부가 부과ㆍ징수하는 조세의 경우에는 결정ㆍ고지하여야 할 세액을 말한다)의 100분의 30 이상인 경우</w:t>
        <w:br/>
        <w:t>2.  포탈세액등이 5억원 이상인 경우</w:t>
        <w:br/>
        <w:t>② 제1항의 죄를 범한 자에 대해서는 정상(情狀)에 따라 징역형과 벌금형을 병과할 수 있다.</w:t>
        <w:br/>
        <w:t>③ 제1항의 죄를 범한 자가 포탈세액등에 대하여 「국세기본법」 제45조에 따라 법정신고기한이 지난 후 2년 이내에 수정신고를 하거나 같은 법 제45조의3에 따라 법정신고기한이 지난 후 6개월 이내에 기한 후 신고를 하였을 때에는 형을 감경할 수 있다.</w:t>
        <w:br/>
        <w:t>④ 제1항의 죄를 상습적으로 범한 자는 형의 2분의 1을 가중한다.</w:t>
        <w:br/>
        <w:t>⑤ 제1항에서 규정하는 범칙행위의 기수(旣遂) 시기는 다음의 각 호의 구분에 따른다.</w:t>
        <w:br/>
        <w:t>1.  납세의무자의 신고에 의하여 정부가 부과ㆍ징수하는 조세: 해당 세목의 과세표준을 정부가 결정하거나 조사결정한 후 그 납부기한이 지난 때. 다만, 납세의무자가 조세를 포탈할 목적으로 세법에 따른 과세표준을 신고하지 아니함으로써 해당 세목의 과세표준을 정부가 결정하거나 조사결정할 수 없는 경우에는 해당 세목의 과세표준의 신고기한이 지난 때로 한다.</w:t>
        <w:br/>
        <w:t>2.  제1호에 해당하지 아니하는 조세: 그 신고ㆍ납부기한이 지난 때</w:t>
        <w:br/>
        <w:t xml:space="preserve">⑥ 제1항에서 "사기나 그 밖의 부정한 행위"란 다음 각 호의 어느 하나에 해당하는 행위로서 조세의 부과와 징수를 불가능하게 하거나 현저히 곤란하게 하는 적극적 행위를 말한다.  </w:t>
        <w:br/>
        <w:t>1.  이중장부의 작성 등 장부의 거짓 기장</w:t>
        <w:br/>
        <w:t>2.  거짓 증빙 또는 거짓 문서의 작성 및 수취</w:t>
        <w:br/>
        <w:t>3.  장부와 기록의 파기</w:t>
        <w:br/>
        <w:t>4.  재산의 은닉, 소득ㆍ수익ㆍ행위ㆍ거래의 조작 또는 은폐</w:t>
        <w:br/>
        <w:t>5.  고의적으로 장부를 작성하지 아니하거나 비치하지 아니하는 행위 또는 계산서, 세금계산서 또는 계산서합계표, 세금계산서합계표의 조작</w:t>
        <w:br/>
        <w:t>6.  「조세특례제한법」 제5조의2제1호에 따른 전사적 기업자원 관리설비의 조작 또는 전자세금계산서의 조작</w:t>
        <w:br/>
        <w:t>7.  그 밖에 위계(僞計)에 의한 행위 또는 부정한 행위</w:t>
      </w:r>
    </w:p>
    <w:p>
      <w:pPr>
        <w:ind w:left="320"/>
      </w:pPr>
      <w:r>
        <w:rPr>
          <w:b/>
          <w:i w:val="0"/>
          <w:sz w:val="20"/>
        </w:rPr>
        <w:t xml:space="preserve">· 해설: </w:t>
      </w:r>
      <w:r>
        <w:rPr>
          <w:b w:val="0"/>
          <w:i w:val="0"/>
          <w:sz w:val="20"/>
        </w:rPr>
        <w:t>(해설 없음)</w:t>
      </w:r>
    </w:p>
    <w:p>
      <w:r>
        <w:rPr>
          <w:b/>
          <w:i w:val="0"/>
          <w:color w:val="1F3864"/>
          <w:sz w:val="22"/>
        </w:rPr>
        <w:t>▸ (미지정) 제14조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r>
        <w:rPr>
          <w:b/>
          <w:i w:val="0"/>
          <w:color w:val="1F3864"/>
          <w:sz w:val="22"/>
        </w:rPr>
        <w:t>▸ 가정폭력범죄의 처벌 등에 관한 특례법 제18조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법인의 대표자나 종업원이 업무와 관련하여 범칙행위를 하면 행위자뿐만 아니라 법인에도 벌금형을 부과하지만, 법인이 위반행위 방지를 위해 상당한 주의와 감독을 게을리하지 않은 경우에는 예외로 합니다. 이 조항은 법인의 대표자가 범칙행위를 저질렀을 때 법인의 책임 소재를 판단하는 핵심 근거가 됩니다. 회사가 주의와 감독 의무를 다했음을 증명하면 양벌 규정이 적용되지 않아 벌금형 부과를 면할 수 있습니다.</w:t>
      </w:r>
    </w:p>
    <w:p>
      <w:r>
        <w:rPr>
          <w:b/>
          <w:i w:val="0"/>
          <w:color w:val="1F3864"/>
          <w:sz w:val="22"/>
        </w:rPr>
        <w:t>▸ 가정폭력범죄의 처벌 등에 관한 특례법 제22조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조세범 처벌법 제 3 조부터 제 14 조까지의 범칙행위에 대한 공소시효는 7 년으로 규정되어 있습니다. 다만, 양벌 규정에 따라 처벌받는 행위자가 조세범 처벌법 제 18 조의 적용을 받는 경우에는 법인에 대한 공소시효가 10 년으로 길어집니다.</w:t>
      </w:r>
    </w:p>
    <w:p>
      <w:r>
        <w:rPr>
          <w:b/>
          <w:i w:val="0"/>
          <w:color w:val="1F3864"/>
          <w:sz w:val="22"/>
        </w:rPr>
        <w:t>▸ 특정범죄 가중처벌 등에 관한 법률 제8조(조세 포탈의 가중처벌)</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제8조(조세 포탈의 가중처벌)</w:t>
        <w:br/>
        <w:t xml:space="preserve">① 「조세범 처벌법」 제3조제1항, 제4조 및 제5조, 「지방세기본법」 제102조제1항에 규정된 죄를 범한 사람은 다음 각 호의 구분에 따라 가중처벌한다.  </w:t>
        <w:br/>
        <w:t>1.  포탈하거나 환급받은 세액 또는 징수하지 아니하거나 납부하지 아니한 세액(이하 "포탈세액등"이라 한다)이 연간 10억원 이상인 경우에는 무기 또는 5년 이상의 징역에 처한다.</w:t>
        <w:br/>
        <w:t>2.  포탈세액등이 연간 5억원 이상 10억원 미만인 경우에는 3년 이상의 유기징역에 처한다.</w:t>
        <w:br/>
        <w:t>② 제1항의 경우에는 그 포탈세액등의 2배 이상 5배 이하에 상당하는 벌금을 병과한다.</w:t>
      </w:r>
    </w:p>
    <w:p>
      <w:pPr>
        <w:ind w:left="320"/>
      </w:pPr>
      <w:r>
        <w:rPr>
          <w:b/>
          <w:i w:val="0"/>
          <w:sz w:val="20"/>
        </w:rPr>
        <w:t xml:space="preserve">· 해설: </w:t>
      </w:r>
      <w:r>
        <w:rPr>
          <w:b w:val="0"/>
          <w:i w:val="0"/>
          <w:sz w:val="20"/>
        </w:rPr>
        <w:t>(해설 없음)</w:t>
      </w:r>
    </w:p>
    <w:p>
      <w:pPr>
        <w:pStyle w:val="Heading1"/>
      </w:pPr>
      <w:r>
        <w:t>【결론】</w:t>
      </w:r>
    </w:p>
    <w:p>
      <w:r>
        <w:t>갑 주식회사의 공소시효는 대표자의 행위가 조세범 처벌법 제22조에 따른 특정범죄가중처벌 등에 관한 법률 제8조의 적용을 받는지 여부에 따라 7년 또는 10년으로 결정됩니다. 회사가 벌금형을 피하려면 대표자의 범칙행위를 방지하기 위해 내부 통제 시스템 등 상당한 주의와 감독을 기울였음을 구체적으로 입증해야 합니다. 만약 회사가 이러한 의무를 다하지 못했다는 사실이 밝혀지면 공소시효 내에는 회사에 대한 벌금형이 확정될 수 있습니다.</w:t>
      </w:r>
    </w:p>
    <w:p>
      <w:pPr>
        <w:jc w:val="center"/>
      </w:pPr>
      <w:r>
        <w:rPr>
          <w:b w:val="0"/>
          <w:i w:val="0"/>
          <w:color w:val="666666"/>
        </w:rPr>
        <w:t>──────────────────────────────</w:t>
      </w:r>
    </w:p>
    <w:p>
      <w:r>
        <w:rPr>
          <w:b/>
          <w:i w:val="0"/>
          <w:sz w:val="20"/>
        </w:rPr>
        <w:t>인용 검증: 4/7 법제처 확인  |  내용 일치: 4/4  |  환각: 0건</w:t>
      </w:r>
    </w:p>
    <w:p>
      <w:r>
        <w:rPr>
          <w:b w:val="0"/>
          <w:i w:val="0"/>
          <w:color w:val="666666"/>
          <w:sz w:val="18"/>
        </w:rPr>
        <w:t>자율 수정: 1회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