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건물 보안 회사를 운영하고자 하였으나, 경비업에 필요한 법적 허가를 받지 않고 사업을 시작했습니다. 을은 해당 회사의 직원으로, 이를 알면서도 경비 업무를 수행했습니다. 몇 달 후, 당국의 단속에 의해 갑의 회사가 불법 경비업을 운영한 사실이 적발되었습니다.</w:t>
        <w:br/>
        <w:br/>
        <w:t>[질문] 갑이 경비업의 허가를 받지 않고 회사를 운영한 경우, 법적으로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갑이 경비업 허가를 받지 않고 영업을 한 행위는 경비업법 위반에 해당하며, 이는 형사 처벌 대상이 됩니다. 다만, 제공된 참고 조문에는 허가 없이 영업을 한 경우의 구체적인 형벌 규정 (징역 또는 벌금) 이 포함되어 있지 않습니다. 따라서 제공된 조문 범위 내에서는 행정처분 (허가 취소 또는 영업정지) 에만 근거를 두고 형사 처벌의 구체적 내용을 단정할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경비업법 제4조(경비업의 허가)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제4조(경비업의 허가)</w:t>
        <w:br/>
        <w:t xml:space="preserve">①경비업을 영위하고자 하는 법인은 도급받아 행하고자 하는 경비업무를 특정하여 그 법인의 주사무소의 소재지를 관할하는 시ㆍ도경찰청장의 허가를 받아야 한다. 도급받아 행하고자 하는 경비업무를 변경하는 경우에도 또한 같다.  </w:t>
        <w:br/>
        <w:t xml:space="preserve">② 제1항에 따른 허가를 받으려는 법인은 다음 각 호의 요건을 갖추어야 한다.  </w:t>
        <w:br/>
        <w:t>1.  대통령령으로 정하는 1억원 이상의 자본금의 보유</w:t>
        <w:br/>
        <w:t>2.  다음 각 목의 경비인력 요건</w:t>
        <w:br/>
        <w:t>3.  대통령령으로 정하는 시설과 장비의 보유</w:t>
        <w:br/>
        <w:t>4.  그 밖에 경비업무 수행을 위하여 대통령령으로 정하는 사항</w:t>
        <w:br/>
        <w:t xml:space="preserve">③제1항의 규정에 의하여 경비업의 허가를 받은 법인은 다음 각 호의 어느 하나에 해당하는 때에는 시ㆍ도경찰청장에게 신고하여야 한다.  </w:t>
        <w:br/>
        <w:t>1.  영업을 폐업하거나 휴업한 때</w:t>
        <w:br/>
        <w:t>2.  법인의 명칭이나 대표자ㆍ임원을 변경한 때</w:t>
        <w:br/>
        <w:t>3.  법인의 주사무소나 출장소를 신설ㆍ이전 또는 폐지한 때</w:t>
        <w:br/>
        <w:t>4.  기계경비업무의 수행을 위한 관제시설을 신설ㆍ이전 또는 폐지한 때</w:t>
        <w:br/>
        <w:t>5.  특수경비업무를 개시하거나 종료한 때</w:t>
        <w:br/>
        <w:t>6.  그 밖에 대통령령이 정하는 중요사항을 변경한 때</w:t>
        <w:br/>
        <w:t>④제1항 및 제3항의 규정에 의한 허가 또는 신고의 절차, 신고의 기한 등 허가 및 신고에 관하여 필요한 사항은 대통령령으로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경비업을 영위하려면 시·도경찰청장의 허가를 받아야 하며, 이를 위반하여 허가 없이 영업을 한 행위는 본질적으로 위법한 상태가 됩니다.</w:t>
      </w:r>
    </w:p>
    <w:p>
      <w:r>
        <w:rPr>
          <w:b/>
          <w:i w:val="0"/>
          <w:color w:val="1F3864"/>
          <w:sz w:val="22"/>
        </w:rPr>
        <w:t>▸ 경비업법 제19조(경비업 허가의 취소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제19조(경비업 허가의 취소 등)</w:t>
        <w:br/>
        <w:t xml:space="preserve">①허가관청은 경비업자가 다음 각 호의 어느 하나에 해당하는 때에는 그 허가를 취소하여야 한다.  </w:t>
        <w:br/>
        <w:t>1.  허위 그 밖의 부정한 방법으로 허가를 받은 때</w:t>
        <w:br/>
        <w:t xml:space="preserve">2.  삭제  </w:t>
        <w:br/>
        <w:t>3.  제7조제9항의 규정에 위반하여 경비업 및 경비관련업외의 영업을 한 때</w:t>
        <w:br/>
        <w:t>4.  정당한 사유없이 허가를 받은 날부터 2년 이내에 경비 도급실적이 없거나 계속하여 1년 이상 휴업한 때</w:t>
        <w:br/>
        <w:t>5.  정당한 사유없이 최종 도급계약 종료일의 다음 날부터 2년 이내에 경비 도급실적이 없을 때</w:t>
        <w:br/>
        <w:t>6.  영업정지처분을 받고 계속하여 영업을 한 때</w:t>
        <w:br/>
        <w:t>7.  제15조의2제2항을 위반하여 소속 경비원으로 하여금 경비업무의 범위를 벗어난 행위를 하게 한 때</w:t>
        <w:br/>
        <w:t>8.  제18조제8항에 따른 관할 경찰관서장의 배치폐지 명령에 따르지 아니한 때</w:t>
        <w:br/>
        <w:t xml:space="preserve">② 허가관청은 경비업자가 다음 각 호의 어느 하나에 해당하는 때에는 대통령령으로 정하는 행정처분의 기준에 따라 그 허가를 취소하거나 6개월 이내의 기간을 정하여 영업의 전부 또는 일부에 대하여 영업정지를 명할 수 있다.  </w:t>
        <w:br/>
        <w:t>1.  제4조제1항 후단을 위반하여 시ㆍ도경찰청장의 허가 없이 경비업무를 변경한 때</w:t>
        <w:br/>
        <w:t>2.  제7조제2항을 위반하여 도급을 의뢰받은 경비업무가 위법한 것임에도 이를 거부하지 아니한 때</w:t>
        <w:br/>
        <w:t>2의2.  제7조제5항을 위반하여 경비업무 또는 경비업무의 목적 달성을 침해하지 아니하는 범위에서 대통령령으로 정하는 업무 외의 업무에 경비원을 종사하게 한 때</w:t>
        <w:br/>
        <w:t>3.  제7조제6항을 위반하여 경비지도사를 집단민원현장에 선임ㆍ배치하지 아니한 때</w:t>
        <w:br/>
        <w:t>4.  제8조를 위반하여 경비대상 시설에 관한 경보 대응체제를 갖추지 아니한 때</w:t>
        <w:br/>
        <w:t>5.  제9조제2항을 위반하여 관련 서류를 작성ㆍ비치하지 아니한 때</w:t>
        <w:br/>
        <w:t>6.  제10조제3항을 위반하여 결격사유에 해당하는 경비원을 배치하거나 결격사유에 해당하는 경비지도사를 선임ㆍ배치한 때</w:t>
        <w:br/>
        <w:t>7.  제12조제1항을 위반하여 경비지도사를 선임한 때</w:t>
        <w:br/>
        <w:t>8.  제13조를 위반하여 경비원으로 하여금 교육을 받게 하지 아니한 때</w:t>
        <w:br/>
        <w:t>9.  제16조에 따른 경비원의 복장 등에 관한 규정을 위반한 때</w:t>
        <w:br/>
        <w:t>10.  제16조의2에 따른 경비원의 장비 등에 관한 규정을 위반한 때</w:t>
        <w:br/>
        <w:t>11.  제16조의3에 따른 경비원의 출동차량 등에 관한 규정을 위반한 때</w:t>
        <w:br/>
        <w:t>12.  제18조제1항 단서를 위반하여 집단민원현장에 일반경비원 명부를 작성ㆍ비치하지 아니한 때</w:t>
        <w:br/>
        <w:t>13.  제18조제2항 각 호 외의 부분 단서를 위반하여 배치허가를 받지 아니하고 경비원을 배치하거나 경비원 명단 및 배치일시ㆍ배치장소 등 배치허가 신청의 내용을 거짓으로 한 때</w:t>
        <w:br/>
        <w:t>14.  제18조제6항을 위반하여 결격사유에 해당하는 일반경비원을 집단민원현장에 배치한 때</w:t>
        <w:br/>
        <w:t>15.  제24조에 따른 감독상 명령에 따르지 아니한 때</w:t>
        <w:br/>
        <w:t>16.  제26조를 위반하여 손해를 배상하지 아니한 때</w:t>
        <w:br/>
        <w:t>③허가관청은 제1항 및 제2항에 의하여 허가취소 또는 영업정지처분을 하는 때에는 경비업자가 허가받은 경비업무중 허가취소 또는 영업정지사유에 해당되는 경비업무에 한하여 처분을 하여야 한다. 다만, 제1항제7호에 해당하여 허가취소를 하는 때에는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허가관청은 경비업자가 법을 위반한 경우 대통령령으로 정하는 기준에 따라 허가를 취소하거나 영업정지를 명할 수 있습니다.</w:t>
      </w:r>
    </w:p>
    <w:p>
      <w:pPr>
        <w:pStyle w:val="Heading1"/>
      </w:pPr>
      <w:r>
        <w:t>【결론】</w:t>
      </w:r>
    </w:p>
    <w:p>
      <w:r>
        <w:t>갑의 행위는 경비업법 위반으로 행정처분 (허가 취소 또는 영업정지) 을 받을 수 있으나, 제공된 참고 조문에는 형사 처벌에 대한 구체적 조항이 명시되어 있지 않습니다. 따라서 형사 처벌의 유무와 종류는 참고 조문 외의 다른 조문 (예: 경비업법 제 2 장의 벌칙 조항) 을 확인해야 하며, 현재 자료만으로는 형사 처벌 내용을 확정할 수 없습니다. 실무에서는 해당 위반 행위에 대한 형사 고발 여부와 함께 관련 벌칙 조항을 반드시 추가로 검토해야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