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법률 질의 답변서</w:t>
      </w:r>
    </w:p>
    <w:p>
      <w:pPr>
        <w:pStyle w:val="Heading1"/>
      </w:pPr>
      <w:r>
        <w:t>【질의 내용】</w:t>
      </w:r>
    </w:p>
    <w:p>
      <w:r>
        <w:t>[상황]</w:t>
        <w:br/>
        <w:t>갑은 경제적으로 어려운 상황에 처해 있던 중, 친구 을로부터 그의 접근매체(전자금융거래에 사용하는 카드)를 빌려달라는 요청을 받게 되었다. 갑은 이에 동의하고, 자신의 접근매체를 을에게 대여하였다. 며칠 후, 을은 이 접근매체를 사용하여 여러 금융 거래를 시도하다가 금융감독원에 의해 적발되었다.</w:t>
        <w:br/>
        <w:br/>
        <w:t>[질문] 갑이 을에게 자신의 접근매체를 대여한 경우, 전자금융거래법에 따라 어떤 처벌을 받을 수 있는가?</w:t>
        <w:br/>
        <w:br/>
        <w:t>위 상황에 적용되는 대한민국 법조문을 '법령명 제N조' 형식으로 구체적으로 인용하여 근거와 함께 답하세요.</w:t>
      </w:r>
    </w:p>
    <w:p>
      <w:pPr>
        <w:pStyle w:val="Heading1"/>
      </w:pPr>
      <w:r>
        <w:t>【답변 요지】</w:t>
      </w:r>
    </w:p>
    <w:p>
      <w:r>
        <w:t>Wait, the user provided that the clause doesn't exist, so I need to find an alternative. Looking at the search results, the correct clause that prohibits lending for consideration is indeed "전자금융거래법 제6조제3항제2호." But since 法制처 says it's missing, perhaps the correct approach is to remove the citation or replace it with a correct one.</w:t>
      </w:r>
    </w:p>
    <w:p>
      <w:pPr>
        <w:pStyle w:val="Heading1"/>
      </w:pPr>
      <w:r>
        <w:t>【관련 법령 및 해설】</w:t>
      </w:r>
    </w:p>
    <w:p>
      <w:r>
        <w:rPr>
          <w:b/>
          <w:i w:val="0"/>
          <w:color w:val="1F3864"/>
          <w:sz w:val="22"/>
        </w:rPr>
        <w:t>▸ 전자금융거래법 제6조 제3항 제2호(접근매체의 선정과 사용 및 관리)</w:t>
      </w:r>
      <w:r>
        <w:t xml:space="preserve">   </w:t>
      </w:r>
      <w:r>
        <w:rPr>
          <w:b/>
          <w:i w:val="0"/>
          <w:color w:val="1A7F37"/>
          <w:sz w:val="18"/>
        </w:rPr>
        <w:t>[✓ 실존]</w:t>
      </w:r>
      <w:r>
        <w:t xml:space="preserve"> </w:t>
      </w:r>
      <w:r>
        <w:rPr>
          <w:b/>
          <w:i w:val="0"/>
          <w:color w:val="1A7F37"/>
          <w:sz w:val="18"/>
        </w:rPr>
        <w:t>[✓ 내용일치]</w:t>
      </w:r>
    </w:p>
    <w:p>
      <w:pPr>
        <w:ind w:left="320"/>
      </w:pPr>
      <w:r>
        <w:rPr>
          <w:b/>
          <w:i w:val="0"/>
          <w:sz w:val="18"/>
        </w:rPr>
        <w:t xml:space="preserve">· 조문 원문: </w:t>
      </w:r>
      <w:r>
        <w:rPr>
          <w:b w:val="0"/>
          <w:i w:val="0"/>
          <w:color w:val="333333"/>
          <w:sz w:val="18"/>
        </w:rPr>
        <w:t>제6조(접근매체의 선정과 사용 및 관리)</w:t>
        <w:br/>
        <w:t xml:space="preserve">①금융회사 또는 전자금융업자는 전자금융거래를 위하여 접근매체를 선정하여 사용 및 관리하고 이용자의 신원, 권한 및 거래지시의 내용 등을 확인하여야 한다.  </w:t>
        <w:br/>
        <w:t xml:space="preserve">②금융회사 또는 전자금융업자가 접근매체를 발급할 때에는 이용자의 신청이 있는 경우에 한하여 본인임을 확인한 후에 발급하여야 한다. 다만, 다음 각 호의 어느 하나에 해당하는 경우에는 이용자의 신청이나 본인의 확인이 없는 때에도 발급할 수 있다.  </w:t>
        <w:br/>
        <w:t>1.  선불전자지급수단 또는 제16조제1항 단서의 규정에 따른 전자화폐인 경우</w:t>
        <w:br/>
        <w:t>2.  접근매체의 갱신 또는 대체발급 등을 위하여 대통령령이 정하는 바에 따라 이용자의 동의를 얻은 경우</w:t>
        <w:br/>
        <w:t xml:space="preserve">③ 누구든지 접근매체를 사용 및 관리함에 있어서 다른 법률에 특별한 규정이 없는 한 다음 각 호의 행위를 하여서는 아니 된다. 다만, 제18조에 따른 선불전자지급수단이나 전자화폐의 양도 또는 담보제공을 위하여 필요한 경우(제3호의 행위 및 이를 알선ㆍ중개하는 행위는 제외한다)에는 그러하지 아니하다.  </w:t>
        <w:br/>
        <w:t>1.  접근매체를 양도하거나 양수하는 행위</w:t>
        <w:br/>
        <w:t>2.  대가를 수수(授受)ㆍ요구 또는 약속하면서 접근매체를 대여받거나 대여하는 행위 또는 보관ㆍ전달ㆍ유통하는 행위</w:t>
        <w:br/>
        <w:t>3.  범죄에 이용할 목적으로 또는 범죄에 이용될 것을 알면서 접근매체를 대여받거나 대여하는 행위 또는 보관ㆍ전달ㆍ유통하는 행위</w:t>
        <w:br/>
        <w:t>4.  접근매체를 질권의 목적으로 하는 행위</w:t>
        <w:br/>
        <w:t>5.  제1호부터 제4호까지의 행위를 알선ㆍ중개ㆍ광고하거나 대가를 수수(授受)ㆍ요구 또는 약속하면서 권유하는 행위</w:t>
        <w:br/>
        <w:t xml:space="preserve">④ 금융회사ㆍ전자금융업자 및 전자금융보조업자(이하 "금융회사등"이라 한다)가 전자적 장치의 작동오류 등 불가피한 사유로 이용자의 접근매체를 획득한 경우 그 접근매체를 그 이용자에게 반환할 때에는 신분증 제시 요청 등의 방법으로 본인임을 확인할 수 있다.  </w:t>
        <w:br/>
        <w:t>⑤ 제4항에 따른 본인확인을 요청할 수 있는 사유 및 본인확인 방법은 대통령령으로 정한다.</w:t>
      </w:r>
    </w:p>
    <w:p>
      <w:pPr>
        <w:ind w:left="320"/>
      </w:pPr>
      <w:r>
        <w:rPr>
          <w:b/>
          <w:i w:val="0"/>
          <w:sz w:val="20"/>
        </w:rPr>
        <w:t xml:space="preserve">· 해설: </w:t>
      </w:r>
      <w:r>
        <w:rPr>
          <w:b w:val="0"/>
          <w:i w:val="0"/>
          <w:sz w:val="20"/>
        </w:rPr>
        <w:t>접근매체를 대가를 수수하거나 범죄에 이용할 목적으로 대여하는 행위를 금지하고 있으나, 단순한 무상 대여는 이 조항의 직접적인 금지 대상에서 제외될 여지가 있습니다.</w:t>
      </w:r>
    </w:p>
    <w:p>
      <w:r>
        <w:rPr>
          <w:b/>
          <w:i w:val="0"/>
          <w:color w:val="1F3864"/>
          <w:sz w:val="22"/>
        </w:rPr>
        <w:t>▸ 전자금융거래법 제6조(접근매체의 선정과 사용 및 관리)</w:t>
      </w:r>
      <w:r>
        <w:t xml:space="preserve">   </w:t>
      </w:r>
      <w:r>
        <w:rPr>
          <w:b/>
          <w:i w:val="0"/>
          <w:color w:val="1A7F37"/>
          <w:sz w:val="18"/>
        </w:rPr>
        <w:t>[✓ 실존]</w:t>
      </w:r>
      <w:r>
        <w:t xml:space="preserve"> </w:t>
      </w:r>
      <w:r>
        <w:rPr>
          <w:b/>
          <w:i w:val="0"/>
          <w:color w:val="1A7F37"/>
          <w:sz w:val="18"/>
        </w:rPr>
        <w:t>[✓ 내용일치]</w:t>
      </w:r>
    </w:p>
    <w:p>
      <w:pPr>
        <w:ind w:left="320"/>
      </w:pPr>
      <w:r>
        <w:rPr>
          <w:b/>
          <w:i w:val="0"/>
          <w:sz w:val="18"/>
        </w:rPr>
        <w:t xml:space="preserve">· 조문 원문: </w:t>
      </w:r>
      <w:r>
        <w:rPr>
          <w:b w:val="0"/>
          <w:i w:val="0"/>
          <w:color w:val="333333"/>
          <w:sz w:val="18"/>
        </w:rPr>
        <w:t>제6조(접근매체의 선정과 사용 및 관리)</w:t>
        <w:br/>
        <w:t xml:space="preserve">①금융회사 또는 전자금융업자는 전자금융거래를 위하여 접근매체를 선정하여 사용 및 관리하고 이용자의 신원, 권한 및 거래지시의 내용 등을 확인하여야 한다.  </w:t>
        <w:br/>
        <w:t xml:space="preserve">②금융회사 또는 전자금융업자가 접근매체를 발급할 때에는 이용자의 신청이 있는 경우에 한하여 본인임을 확인한 후에 발급하여야 한다. 다만, 다음 각 호의 어느 하나에 해당하는 경우에는 이용자의 신청이나 본인의 확인이 없는 때에도 발급할 수 있다.  </w:t>
        <w:br/>
        <w:t>1.  선불전자지급수단 또는 제16조제1항 단서의 규정에 따른 전자화폐인 경우</w:t>
        <w:br/>
        <w:t>2.  접근매체의 갱신 또는 대체발급 등을 위하여 대통령령이 정하는 바에 따라 이용자의 동의를 얻은 경우</w:t>
        <w:br/>
        <w:t xml:space="preserve">③ 누구든지 접근매체를 사용 및 관리함에 있어서 다른 법률에 특별한 규정이 없는 한 다음 각 호의 행위를 하여서는 아니 된다. 다만, 제18조에 따른 선불전자지급수단이나 전자화폐의 양도 또는 담보제공을 위하여 필요한 경우(제3호의 행위 및 이를 알선ㆍ중개하는 행위는 제외한다)에는 그러하지 아니하다.  </w:t>
        <w:br/>
        <w:t>1.  접근매체를 양도하거나 양수하는 행위</w:t>
        <w:br/>
        <w:t>2.  대가를 수수(授受)ㆍ요구 또는 약속하면서 접근매체를 대여받거나 대여하는 행위 또는 보관ㆍ전달ㆍ유통하는 행위</w:t>
        <w:br/>
        <w:t>3.  범죄에 이용할 목적으로 또는 범죄에 이용될 것을 알면서 접근매체를 대여받거나 대여하는 행위 또는 보관ㆍ전달ㆍ유통하는 행위</w:t>
        <w:br/>
        <w:t>4.  접근매체를 질권의 목적으로 하는 행위</w:t>
        <w:br/>
        <w:t>5.  제1호부터 제4호까지의 행위를 알선ㆍ중개ㆍ광고하거나 대가를 수수(授受)ㆍ요구 또는 약속하면서 권유하는 행위</w:t>
        <w:br/>
        <w:t xml:space="preserve">④ 금융회사ㆍ전자금융업자 및 전자금융보조업자(이하 "금융회사등"이라 한다)가 전자적 장치의 작동오류 등 불가피한 사유로 이용자의 접근매체를 획득한 경우 그 접근매체를 그 이용자에게 반환할 때에는 신분증 제시 요청 등의 방법으로 본인임을 확인할 수 있다.  </w:t>
        <w:br/>
        <w:t>⑤ 제4항에 따른 본인확인을 요청할 수 있는 사유 및 본인확인 방법은 대통령령으로 정한다.</w:t>
      </w:r>
    </w:p>
    <w:p>
      <w:pPr>
        <w:ind w:left="320"/>
      </w:pPr>
      <w:r>
        <w:rPr>
          <w:b/>
          <w:i w:val="0"/>
          <w:sz w:val="20"/>
        </w:rPr>
        <w:t xml:space="preserve">· 해설: </w:t>
      </w:r>
      <w:r>
        <w:rPr>
          <w:b w:val="0"/>
          <w:i w:val="0"/>
          <w:sz w:val="20"/>
        </w:rPr>
        <w:t>접근매체를 대가를 수수하거나 범죄에 이용할 목적으로 대여하는 행위를 금지하고 있으나, 단순한 무상 대여는 이 조항의 직접적인 금지 대상에서 제외될 여지가 있습니다.</w:t>
      </w:r>
    </w:p>
    <w:p>
      <w:r>
        <w:rPr>
          <w:b/>
          <w:i w:val="0"/>
          <w:color w:val="1F3864"/>
          <w:sz w:val="22"/>
        </w:rPr>
        <w:t>▸ 전자금융거래법 제49조(벌칙)</w:t>
      </w:r>
      <w:r>
        <w:t xml:space="preserve">   </w:t>
      </w:r>
      <w:r>
        <w:rPr>
          <w:b/>
          <w:i w:val="0"/>
          <w:color w:val="1A7F37"/>
          <w:sz w:val="18"/>
        </w:rPr>
        <w:t>[✓ 실존]</w:t>
      </w:r>
      <w:r>
        <w:t xml:space="preserve"> </w:t>
      </w:r>
      <w:r>
        <w:rPr>
          <w:b/>
          <w:i w:val="0"/>
          <w:color w:val="1A7F37"/>
          <w:sz w:val="18"/>
        </w:rPr>
        <w:t>[✓ 내용일치]</w:t>
      </w:r>
    </w:p>
    <w:p>
      <w:pPr>
        <w:ind w:left="320"/>
      </w:pPr>
      <w:r>
        <w:rPr>
          <w:b/>
          <w:i w:val="0"/>
          <w:sz w:val="18"/>
        </w:rPr>
        <w:t xml:space="preserve">· 조문 원문: </w:t>
      </w:r>
      <w:r>
        <w:rPr>
          <w:b w:val="0"/>
          <w:i w:val="0"/>
          <w:color w:val="333333"/>
          <w:sz w:val="18"/>
        </w:rPr>
        <w:t>제49조(벌칙)</w:t>
        <w:br/>
        <w:t xml:space="preserve">① 다음 각 호의 어느 하나에 해당하는 자는 10년 이하의 징역 또는 1억원 이하의 벌금에 처한다.  </w:t>
        <w:br/>
        <w:t>1.  제21조의4제1호를 위반하여 전자금융기반시설에 접근하거나 저장된 데이터를 조작ㆍ파괴ㆍ은닉 또는 유출한 자</w:t>
        <w:br/>
        <w:t>2.  제21조의4제2호를 위반하여 데이터를 파괴하거나 컴퓨터 바이러스, 논리폭탄 또는 메일폭탄 등의 프로그램을 투입한 자</w:t>
        <w:br/>
        <w:t>3.  제21조의4제3호를 위반하여 일시에 대량의 신호, 고출력 전자기파 또는 데이터를 보내거나 전자금융기반시설에 오류 또는 장애를 발생시킨 자</w:t>
        <w:br/>
        <w:t>4.  제26조를 위반하여 전자금융거래정보를 타인에게 제공 또는 누설하거나 업무상 목적 외에 사용한 자(제28조제4항에 따라 이를 준용하는 선불전자지급수단을 발행하는 자를 포함한다)</w:t>
        <w:br/>
        <w:t xml:space="preserve">②다음 각 호의 어느 하나에 해당하는 자는 7년 이하의 징역 또는 5천만원 이하의 벌금에 처한다.  </w:t>
        <w:br/>
        <w:t>1.  접근매체를 위조하거나 변조한 자</w:t>
        <w:br/>
        <w:t>2.  위조되거나 변조된 접근매체를 판매알선ㆍ판매ㆍ수출 또는 수입하거나 사용한 자</w:t>
        <w:br/>
        <w:t>3.  분실되거나 도난된 접근매체를 판매알선ㆍ판매ㆍ수출 또는 수입하거나 사용한 자</w:t>
        <w:br/>
        <w:t>4.  전자금융기반시설 또는 전자금융거래를 위한 전자적 장치에 침입하여 거짓이나 그 밖의 부정한 방법으로 접근매체를 획득하거나 획득한 접근매체를 이용하여 전자금융거래를 한 자</w:t>
        <w:br/>
        <w:t>5.  강제로 빼앗거나, 횡령하거나, 사람을 속이거나 공갈하여 획득한 접근매체를 판매알선ㆍ판매ㆍ수출 또는 수입하거나 사용한 자</w:t>
        <w:br/>
        <w:t xml:space="preserve">6.  삭제  </w:t>
        <w:br/>
        <w:t xml:space="preserve">③전자화폐는 「형법」 제214조 내지 제217조에 정한 죄의 유가증권으로 보아 각 그 죄에 정한 형으로 처벌한다.  </w:t>
        <w:br/>
        <w:t xml:space="preserve">④ 다음 각 호의 어느 하나에 해당하는 자는 5년 이하의 징역 또는 3천만원 이하의 벌금에 처한다.  </w:t>
        <w:br/>
        <w:t>1.  제6조제3항제1호를 위반하여 접근매체를 양도하거나 양수한 자</w:t>
        <w:br/>
        <w:t>2.  제6조제3항제2호 또는 제3호를 위반하여 접근매체를 대여받거나 대여한 자 또는 보관ㆍ전달ㆍ유통한 자</w:t>
        <w:br/>
        <w:t>3.  제6조제3항제4호를 위반한 질권설정자 또는 질권자</w:t>
        <w:br/>
        <w:t>4.  제6조제3항제5호를 위반하여 알선ㆍ중개ㆍ광고하거나 대가를 수수(授受)ㆍ요구 또는 약속하면서 권유하는 행위를 한 자</w:t>
        <w:br/>
        <w:t>5.  제6조의3을 위반하여 계좌와 관련된 정보를 제공받거나 제공한 자 또는 보관ㆍ전달ㆍ유통한 자</w:t>
        <w:br/>
        <w:t xml:space="preserve">⑤다음 각 호의 어느 하나에 해당하는 자는 3년 이하의 징역 또는 2천만원 이하의 벌금에 처한다.  </w:t>
        <w:br/>
        <w:t xml:space="preserve">1.  삭제  </w:t>
        <w:br/>
        <w:t xml:space="preserve">2.  삭제  </w:t>
        <w:br/>
        <w:t xml:space="preserve">3.  삭제  </w:t>
        <w:br/>
        <w:t xml:space="preserve">4.  삭제  </w:t>
        <w:br/>
        <w:t>5.  제28조 또는 제29조의 규정에 따라 허가를 받거나 등록을 하지 아니하고 그 업무를 행한 자</w:t>
        <w:br/>
        <w:t>6.  허위 그 밖의 부정한 방법으로 제28조 또는 제29조의 규정에 따라 허가를 받거나 등록을 한 자</w:t>
        <w:br/>
        <w:t>6의2.  제35조의2제1항을 위반하여 승인을 받지 아니하고 소액후불결제업무를 한 자</w:t>
        <w:br/>
        <w:t>7.  제37조제3항제3호의 규정을 위반하여 다른 가맹점의 이름으로 전자화폐등에 의한 거래를 한 자</w:t>
        <w:br/>
        <w:t>8.  제37조제3항제5호의 규정을 위반하여 전자화폐등에 의한 거래를 대행한 자</w:t>
        <w:br/>
        <w:t>9.  제37조제4항의 규정을 위반하여 가맹점의 이름으로 전자화폐등에 의한 거래를 한 자</w:t>
        <w:br/>
        <w:t>9의2.  다음 각 목의 어느 하나에 해당하는 행위를 통하여 이용자에게 소액후불결제업무로 자금을 융통하여 준 자 또는 이를 중개ㆍ알선ㆍ권유ㆍ광고한 자</w:t>
        <w:br/>
        <w:t>10.  허위 그 밖의 부정한 방법으로 전자금융거래정보를 열람하거나 제공받은 자</w:t>
        <w:br/>
        <w:t xml:space="preserve">⑥다음 각 호의 어느 하나에 해당하는 자는 1년 이하의 징역 또는 1천만원 이하의 벌금에 처한다.  </w:t>
        <w:br/>
        <w:t xml:space="preserve">1.  삭제  </w:t>
        <w:br/>
        <w:t xml:space="preserve">2.  삭제  </w:t>
        <w:br/>
        <w:t>3.  제37조제1항의 규정을 위반하여 전자화폐등에 의한 거래를 이유로 재화 또는 용역의 제공을 거절하거나 이용자를 불리하게 대우한 자</w:t>
        <w:br/>
        <w:t>4.  제37조제2항의 규정을 위반하여 이용자에게 가맹점수수료를 부담하게 한 자</w:t>
        <w:br/>
        <w:t>5.  제37조제3항제4호의 규정을 위반하여 가맹점의 이름을 타인에게 빌려준 자</w:t>
        <w:br/>
        <w:t>6.  제45조제1항의 규정에 따른 인가를 받지 아니하고 동항 각 호의 어느 하나에 해당하는 행위를 한 자</w:t>
        <w:br/>
        <w:t xml:space="preserve">⑦ 제1항제1호ㆍ제2호 및 제3호와 제2항제1호ㆍ제2호 및 제4호의 미수범은 처벌한다.  </w:t>
        <w:br/>
        <w:t>⑧제1항부터 제7항까지의 징역형과 벌금형은 병과할 수 있다.</w:t>
      </w:r>
    </w:p>
    <w:p>
      <w:pPr>
        <w:ind w:left="320"/>
      </w:pPr>
      <w:r>
        <w:rPr>
          <w:b/>
          <w:i w:val="0"/>
          <w:sz w:val="20"/>
        </w:rPr>
        <w:t xml:space="preserve">· 해설: </w:t>
      </w:r>
      <w:r>
        <w:rPr>
          <w:b w:val="0"/>
          <w:i w:val="0"/>
          <w:sz w:val="20"/>
        </w:rPr>
        <w:t>접근매체를 범죄에 이용할 목적으로 또는 범죄에 이용될 것을 알면서 대여한 자는 5년 이하의 징역 또는 3천만원 이하의 벌금에 처하도록 규정하고 있습니다.</w:t>
      </w:r>
    </w:p>
    <w:p>
      <w:r>
        <w:rPr>
          <w:b/>
          <w:i w:val="0"/>
          <w:color w:val="1F3864"/>
          <w:sz w:val="22"/>
        </w:rPr>
        <w:t>▸ 전자금융거래법 시행령 제8조(고의나 중대한 과실의 범위)</w:t>
      </w:r>
      <w:r>
        <w:t xml:space="preserve">   </w:t>
      </w:r>
      <w:r>
        <w:rPr>
          <w:b/>
          <w:i w:val="0"/>
          <w:color w:val="1A7F37"/>
          <w:sz w:val="18"/>
        </w:rPr>
        <w:t>[✓ 실존]</w:t>
      </w:r>
      <w:r>
        <w:t xml:space="preserve"> </w:t>
      </w:r>
      <w:r>
        <w:rPr>
          <w:b/>
          <w:i w:val="0"/>
          <w:color w:val="1A7F37"/>
          <w:sz w:val="18"/>
        </w:rPr>
        <w:t>[✓ 내용일치]</w:t>
      </w:r>
    </w:p>
    <w:p>
      <w:pPr>
        <w:ind w:left="320"/>
      </w:pPr>
      <w:r>
        <w:rPr>
          <w:b/>
          <w:i w:val="0"/>
          <w:sz w:val="18"/>
        </w:rPr>
        <w:t xml:space="preserve">· 조문 원문: </w:t>
      </w:r>
      <w:r>
        <w:rPr>
          <w:b w:val="0"/>
          <w:i w:val="0"/>
          <w:color w:val="333333"/>
          <w:sz w:val="18"/>
        </w:rPr>
        <w:t xml:space="preserve">제8조(고의나 중대한 과실의 범위) 법 제9조제3항에 따른 고의나 중대한 과실의 범위는 다음 각 호와 같다  </w:t>
        <w:br/>
        <w:t>1.  이용자가 접근매체를 제3자에게 대여하거나 그 사용을 위임한 경우 또는 양도나 담보의 목적으로 제공한 경우(법 제18조에 따라 선불전자지급수단이나 전자화폐를 양도하거나 담보로 제공한 경우를 제외한다)</w:t>
        <w:br/>
        <w:t>2.  제3자가 권한 없이 이용자의 접근매체를 이용하여 전자금융거래를 할 수 있음을 알았거나 쉽게 알 수 있었음에도 불구하고 접근매체를 누설하거나 노출 또는 방치한 경우</w:t>
        <w:br/>
        <w:t>3.  금융회사 또는 전자금융업자가 법 제6조제1항에 따른 확인 외에 보안강화를 위하여 전자금융거래 시 요구하는 추가적인 보안조치를 이용자가 정당한 사유 없이 거부하여 법 제9조제1항제3호에 따른 사고가 발생한 경우</w:t>
        <w:br/>
        <w:t>4.  이용자가 제3호에 따른 추가적인 보안조치에 사용되는 매체ㆍ수단 또는 정보에 대하여 다음 각 목의 어느 하나에 해당하는 행위를 하여 법 제9조제1항제3호에 따른 사고가 발생한 경우</w:t>
      </w:r>
    </w:p>
    <w:p>
      <w:pPr>
        <w:ind w:left="320"/>
      </w:pPr>
      <w:r>
        <w:rPr>
          <w:b/>
          <w:i w:val="0"/>
          <w:sz w:val="20"/>
        </w:rPr>
        <w:t xml:space="preserve">· 해설: </w:t>
      </w:r>
      <w:r>
        <w:rPr>
          <w:b w:val="0"/>
          <w:i w:val="0"/>
          <w:sz w:val="20"/>
        </w:rPr>
        <w:t>접근매체를 제3자에게 대여한 경우를 구체적으로 명시하여 法 제49조의 적용 범위를 명확히 하고 있습니다.</w:t>
      </w:r>
    </w:p>
    <w:p>
      <w:r>
        <w:rPr>
          <w:b/>
          <w:i w:val="0"/>
          <w:color w:val="1F3864"/>
          <w:sz w:val="22"/>
        </w:rPr>
        <w:t>▸ (미지정) 제49조</w:t>
      </w:r>
      <w:r>
        <w:t xml:space="preserve">   </w:t>
      </w:r>
      <w:r>
        <w:rPr>
          <w:b/>
          <w:i w:val="0"/>
          <w:color w:val="666666"/>
          <w:sz w:val="18"/>
        </w:rPr>
        <w:t>[⚠ 확인필요]</w:t>
      </w:r>
      <w:r>
        <w:t xml:space="preserve"> </w:t>
      </w:r>
      <w:r>
        <w:rPr>
          <w:b/>
          <w:i w:val="0"/>
          <w:color w:val="666666"/>
          <w:sz w:val="18"/>
        </w:rPr>
        <w:t>[—]</w:t>
      </w:r>
    </w:p>
    <w:p>
      <w:pPr>
        <w:ind w:left="320"/>
      </w:pPr>
      <w:r>
        <w:rPr>
          <w:b/>
          <w:i w:val="0"/>
          <w:sz w:val="18"/>
        </w:rPr>
        <w:t xml:space="preserve">· 조문 원문: </w:t>
      </w:r>
      <w:r>
        <w:rPr>
          <w:b w:val="0"/>
          <w:i w:val="0"/>
          <w:color w:val="333333"/>
          <w:sz w:val="18"/>
        </w:rPr>
        <w:t>(법제처 확인 불가 — 법령명·항 재확인 필요)</w:t>
      </w:r>
    </w:p>
    <w:p>
      <w:pPr>
        <w:ind w:left="320"/>
      </w:pPr>
      <w:r>
        <w:rPr>
          <w:b/>
          <w:i w:val="0"/>
          <w:sz w:val="20"/>
        </w:rPr>
        <w:t xml:space="preserve">· 해설: </w:t>
      </w:r>
      <w:r>
        <w:rPr>
          <w:b w:val="0"/>
          <w:i w:val="0"/>
          <w:sz w:val="20"/>
        </w:rPr>
        <w:t>접근매체를 범죄에 이용할 목적으로 또는 범죄에 이용될 것을 알면서 대여한 자는 5년 이하의 징역 또는 3천만원 이하의 벌금에 처하도록 규정하고 있습니다.</w:t>
      </w:r>
    </w:p>
    <w:p>
      <w:pPr>
        <w:pStyle w:val="Heading1"/>
      </w:pPr>
      <w:r>
        <w:t>【결론】</w:t>
      </w:r>
    </w:p>
    <w:p>
      <w:r>
        <w:t>갑의 처벌 여부는 을이 접근매체를 범죄에 사용할 것을 갑이 알았는지 여부에 따라 결정되며, 이를 입증하지 못하면 형사 처벌을 받기 어렵습니다. 금융감독원의 적발 사실만으로는 갑의 고의성을 단정할 수 없으므로 수사 단계에서 갑의 인식 상태를 중점적으로 조사할 것입니다. 갑은 수사 과정에서 자신의 무고함을 입증하기 위해 을과의 대화 내용이나 대여 당시의 상황을 명확히 진술해야 합니다.</w:t>
      </w:r>
    </w:p>
    <w:p>
      <w:pPr>
        <w:jc w:val="center"/>
      </w:pPr>
      <w:r>
        <w:rPr>
          <w:b w:val="0"/>
          <w:i w:val="0"/>
          <w:color w:val="666666"/>
        </w:rPr>
        <w:t>──────────────────────────────</w:t>
      </w:r>
    </w:p>
    <w:p>
      <w:r>
        <w:rPr>
          <w:b/>
          <w:i w:val="0"/>
          <w:sz w:val="20"/>
        </w:rPr>
        <w:t>인용 검증: 4/5 법제처 확인  |  내용 일치: 4/4  |  환각: 0건</w:t>
      </w:r>
    </w:p>
    <w:p>
      <w:r>
        <w:rPr>
          <w:b w:val="0"/>
          <w:i w:val="0"/>
          <w:color w:val="666666"/>
          <w:sz w:val="18"/>
        </w:rPr>
        <w:t>자율 수정: 1회  |  생성: Qwen3.5-27B · 교차검증: DeepSeek-R1-Distill-Qwen-32B (온프레미스)</w:t>
      </w:r>
    </w:p>
    <w:p>
      <w:r>
        <w:rPr>
          <w:b w:val="0"/>
          <w:i w:val="0"/>
          <w:color w:val="666666"/>
          <w:sz w:val="18"/>
        </w:rPr>
        <w:t>문서 생성: 2026-07-14  |  법제처 국가법령정보 Open API 근거 기반 자동 검증</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