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법률 질의 답변서</w:t>
      </w:r>
    </w:p>
    <w:p>
      <w:pPr>
        <w:pStyle w:val="Heading1"/>
      </w:pPr>
      <w:r>
        <w:t>【질의 내용】</w:t>
      </w:r>
    </w:p>
    <w:p>
      <w:r>
        <w:t>[상황]</w:t>
        <w:br/>
        <w:t>갑은 공장에서 발생한 화재 사건과 관련하여 피의자 신문을 받았고, 검사는 이 신문조서를 작성하였다. 사건이 법정으로 넘어가면서, 검사는 갑이 작성한 조서를 증거로 제출하려 하였다. 그러나 갑의 변호인 을은 조서의 증거 능력을 문제 삼았다. 갑과 을은 조서의 내용이 정확하고 적법한 절차에 따라 작성되었음을 공판 준비기일에 인정하였다.</w:t>
        <w:br/>
        <w:br/>
        <w:t>[질문] 갑의 피의자 신문 조서는 어떤 조건 하에서 법정에서 증거로 사용할 수 있는가?</w:t>
        <w:br/>
        <w:br/>
        <w:t>위 상황에 적용되는 대한민국 법조문을 '법령명 제N조' 형식으로 구체적으로 인용하여 근거와 함께 답하세요.</w:t>
      </w:r>
    </w:p>
    <w:p>
      <w:pPr>
        <w:pStyle w:val="Heading1"/>
      </w:pPr>
      <w:r>
        <w:t>【답변 요지】</w:t>
      </w:r>
    </w:p>
    <w:p>
      <w:r>
        <w:t>검사가 작성한 피의자 신문조서는 적법한 절차와 방식에 따라 작성된 것으로서 공판준비 또는 공판기일에 피고인이나 변호인이 그 내용을 인정할 때에 한하여 증거로 할 수 있습니다. 본 사안에서 갑과 변호인 을이 공판준비기일에 조서의 적법성과 내용을 인정하였으므로, 해당 조서는 증거로 사용될 수 있는 요건을 충족합니다. 다만, 이 인정은 피고인 또는 변호인의 명시적 의사표시가 있어야 하며, 절차적 적법성도 전제되어야 합니다.</w:t>
      </w:r>
    </w:p>
    <w:p>
      <w:pPr>
        <w:pStyle w:val="Heading1"/>
      </w:pPr>
      <w:r>
        <w:t>【관련 법령 및 해설】</w:t>
      </w:r>
    </w:p>
    <w:p>
      <w:r>
        <w:rPr>
          <w:b/>
          <w:i w:val="0"/>
          <w:color w:val="1F3864"/>
          <w:sz w:val="22"/>
        </w:rPr>
        <w:t>▸ 형사소송법 제312조(검사 또는 사법경찰관의 조서 등)</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제312조(검사 또는 사법경찰관의 조서 등)</w:t>
        <w:br/>
        <w:t xml:space="preserve">① 검사가 작성한 피의자신문조서는 적법한 절차와 방식에 따라 작성된 것으로서 공판준비, 공판기일에 그 피의자였던 피고인 또는 변호인이 그 내용을 인정할 때에 한정하여 증거로 할 수 있다.  </w:t>
        <w:br/>
        <w:t xml:space="preserve">② 삭제  </w:t>
        <w:br/>
        <w:t>③검사 이외의 수사기관이 작성한 피의자신문조서는 적법한 절차와 방식에 따라 작성된 것으로서 공판준비 또는 공판기일에 그 피의자였던 피고인 또는 변호인이 그 내용을 인정할 때에 한하여 증거로 할 수 있다.</w:t>
        <w:br/>
        <w:t>④검사 또는 사법경찰관이 피고인이 아닌 자의 진술을 기재한 조서는 적법한 절차와 방식에 따라 작성된 것으로서 그 조서가 검사 또는 사법경찰관 앞에서 진술한 내용과 동일하게 기재되어 있음이 원진술자의 공판준비 또는 공판기일에서의 진술이나 영상녹화물 또는 그 밖의 객관적인 방법에 의하여 증명되고, 피고인 또는 변호인이 공판준비 또는 공판기일에 그 기재 내용에 관하여 원진술자를 신문할 수 있었던 때에는 증거로 할 수 있다. 다만, 그 조서에 기재된 진술이 특히 신빙할 수 있는 상태하에서 행하여졌음이 증명된 때에 한한다.</w:t>
        <w:br/>
        <w:t>⑤제1항부터 제4항까지의 규정은 피고인 또는 피고인이 아닌 자가 수사과정에서 작성한 진술서에 관하여 준용한다.</w:t>
        <w:br/>
        <w:t>⑥검사 또는 사법경찰관이 검증의 결과를 기재한 조서는 적법한 절차와 방식에 따라 작성된 것으로서 공판준비 또는 공판기일에서의 작성자의 진술에 따라 그 성립의 진정함이 증명된 때에는 증거로 할 수 있다.</w:t>
      </w:r>
    </w:p>
    <w:p>
      <w:pPr>
        <w:ind w:left="320"/>
      </w:pPr>
      <w:r>
        <w:rPr>
          <w:b/>
          <w:i w:val="0"/>
          <w:sz w:val="20"/>
        </w:rPr>
        <w:t xml:space="preserve">· 해설: </w:t>
      </w:r>
      <w:r>
        <w:rPr>
          <w:b w:val="0"/>
          <w:i w:val="0"/>
          <w:sz w:val="20"/>
        </w:rPr>
        <w:t>검사가 작성한 피의자신문조서는 적법한 절차와 방식에 따라 작성된 것으로서 공판준비나 공판기일에 피의자였던 피고인 또는 변호인이 그 내용을 인정할 때에 한정하여 증거로 할 수 있습니다. 이 조항은 검사 작성 조서의 증거능력을 원칙적으로 부정하되, 피고인 측의 인정을 통해 예외적으로 허용하는 규정을 담고 있습니다. 적법한 절차와 방식에 따른 작성 여부는 증거능력의 전제조건이며, 피고인이나 변호인의 인정은 공판절차에서 이루어져야 합니다. 본 사안과 같이 공판준비기일에 피고인과 변호인이 내용을 인정하면 조서는 증거로 채택될 수 있습니다.</w:t>
      </w:r>
    </w:p>
    <w:p>
      <w:pPr>
        <w:pStyle w:val="Heading1"/>
      </w:pPr>
      <w:r>
        <w:t>【결론】</w:t>
      </w:r>
    </w:p>
    <w:p>
      <w:r>
        <w:t>갑의 피의자 신문조서는 적법한 절차로 작성되었고 공판준비기일에 피고인 갑과 변호인 을이 내용을 인정하였으므로 형사소송법 제312조에 따라 증거로 사용할 수 있습니다. 실무에서는 피고인 측의 인정이 명확히 기록되어야 하며, 조서 작성 과정의 적법성도 함께 확인되어야 합니다. 만약 피고인 측이 내용을 부인하거나 절차적 하자가 발견되면 조서는 증거로 채택되지 않으므로, 변호인은 조서의 적법성과 진술의 자발성을 면밀히 검토해야 합니다.</w:t>
      </w:r>
    </w:p>
    <w:p>
      <w:pPr>
        <w:jc w:val="center"/>
      </w:pPr>
      <w:r>
        <w:rPr>
          <w:b w:val="0"/>
          <w:i w:val="0"/>
          <w:color w:val="666666"/>
        </w:rPr>
        <w:t>──────────────────────────────</w:t>
      </w:r>
    </w:p>
    <w:p>
      <w:r>
        <w:rPr>
          <w:b/>
          <w:i w:val="0"/>
          <w:sz w:val="20"/>
        </w:rPr>
        <w:t>인용 검증: 1/1 법제처 확인  |  내용 일치: 1/1  |  환각: 0건</w:t>
      </w:r>
    </w:p>
    <w:p>
      <w:r>
        <w:rPr>
          <w:b w:val="0"/>
          <w:i w:val="0"/>
          <w:color w:val="666666"/>
          <w:sz w:val="18"/>
        </w:rPr>
        <w:t>자율 수정: 0회  |  생성: Qwen3.5-27B · 교차검증: DeepSeek-R1-Distill-Qwen-32B (온프레미스)</w:t>
      </w:r>
    </w:p>
    <w:p>
      <w:r>
        <w:rPr>
          <w:b w:val="0"/>
          <w:i w:val="0"/>
          <w:color w:val="666666"/>
          <w:sz w:val="18"/>
        </w:rPr>
        <w:t>문서 생성: 2026-07-14  |  법제처 국가법령정보 Open API 근거 기반 자동 검증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