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금융회사에 소속된 투자 전문가로, 자산 운용 과정에서 환매조건부 채권 거래(Repo) 및 이자부 금융상품과 파생상품이 결합된 복합투자 상품을 활용하여 수익을 극대화하고자 한다. 특히 갑은 환매수 조건으로 매도한 채권에 대해 지급받는 수익이 매매차익인지, 이자소득인지 구분할 필요성을 느끼고 있다. 또한, 회사는 일정 기간이 지난 뒤 동일한 채권을 되사오는 조건의 거래와 함께, 이자수익이 발생하는 채권에 파생상품이 결합된 상품의 소득도 이자소득으로 분류되는지에 관심을 갖고 있다.</w:t>
        <w:br/>
        <w:br/>
        <w:t>[질문] 환매조건부로 매매하는 채권 또는 증권의 매매차익은 어떤 요건에 따라 구분되며, 환매수 조건으로 매도한 채권 등에서 발생하는 수익은 이자소득으로 간주될 수 있는가? 또한, 금융회사가 이자소득이 발생하는 채권에 파생상품이 결합된 상품을 운용할 경우, 이자소득으로 과세되는 요건은 무엇인가?</w:t>
        <w:br/>
        <w:br/>
        <w:t>위 상황에 적용되는 대한민국 법조문을 '법령명 제N조' 형식으로 구체적으로 인용하여 근거와 함께 답하세요.</w:t>
      </w:r>
    </w:p>
    <w:p>
      <w:pPr>
        <w:pStyle w:val="Heading1"/>
      </w:pPr>
      <w:r>
        <w:t>【답변 요지】</w:t>
      </w:r>
    </w:p>
    <w:p>
      <w:r>
        <w:t>환매조건부 매매차익은 금융회사 등이 환매기간에 따른 사전약정이율을 적용하여 환매수 또는 환매도하는 조건으로 매매하는 채권 또는 증권의 매매차익으로 정의됩니다. 거주자가 환매수 조건으로 매도한 채권 등에서 매수인으로부터 지급받는 이자에 상당하는 금액은 이자소득에 포함됩니다. 이자부상품과 파생상품이 결합된 경우 실질상 하나의 상품으로 운영되거나 파생상품 이익이 확정되는 등 대통령령이 정하는 요건을 충족할 때 이자소득으로 봅니다.</w:t>
      </w:r>
    </w:p>
    <w:p>
      <w:pPr>
        <w:pStyle w:val="Heading1"/>
      </w:pPr>
      <w:r>
        <w:t>【관련 법령 및 해설】</w:t>
      </w:r>
    </w:p>
    <w:p>
      <w:r>
        <w:rPr>
          <w:b/>
          <w:i w:val="0"/>
          <w:color w:val="1F3864"/>
          <w:sz w:val="22"/>
        </w:rPr>
        <w:t>▸ 소득세법 시행령 제24조(환매조건부매매차익)</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제24조(환매조건부매매차익) 법 제16조제1항제8호에서 "대통령령으로 정하는 채권 또는 증권의 환매조건부 매매차익"이란 금융회사 등(「금융실명거래 및 비밀보장에 관한 법률」 제2조제1호 각 목의 어느 하나에 해당하는 금융회사등과 「법인세법 시행령」 제111조제1항 각 호의 어느 하나에 해당하는 법인을 말한다. 이하 같다)이 환매기간에 따른 사전약정이율을 적용하여 환매수 또는 환매도하는 조건으로 매매하는 채권 또는 증권의 매매차익을 말한다.</w:t>
      </w:r>
    </w:p>
    <w:p>
      <w:pPr>
        <w:ind w:left="320"/>
      </w:pPr>
      <w:r>
        <w:rPr>
          <w:b/>
          <w:i w:val="0"/>
          <w:sz w:val="20"/>
        </w:rPr>
        <w:t xml:space="preserve">· 해설: </w:t>
      </w:r>
      <w:r>
        <w:rPr>
          <w:b w:val="0"/>
          <w:i w:val="0"/>
          <w:sz w:val="20"/>
        </w:rPr>
        <w:t>금융회사 등이 환매기간에 따른 사전약정이율을 적용하여 환매수 또는 환매도하는 조건으로 매매하는 채권 또는 증권의 매매차익을 환매조건부 매매차익으로 정의합니다.</w:t>
      </w:r>
    </w:p>
    <w:p>
      <w:r>
        <w:rPr>
          <w:b/>
          <w:i w:val="0"/>
          <w:color w:val="1F3864"/>
          <w:sz w:val="22"/>
        </w:rPr>
        <w:t>▸ 소득세법 시행령 제26조(이자소득의 범위)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제26조(이자소득의 범위)</w:t>
        <w:br/>
        <w:t xml:space="preserve">①법 제16조제1항제10호에서 "대통령령으로 정하는 직장공제회"란 「민법」 제32조 또는 그 밖의 법률에 따라 설립된 공제회ㆍ공제조합(이와 유사한 단체를 포함한다)으로서 동일직장이나 직종에 종사하는 근로자들의 생활안정, 복리증진 또는 상호부조 등을 목적으로 구성된 단체를 말한다.  </w:t>
        <w:br/>
        <w:t xml:space="preserve">② 법 제16조제1항제10호에 따른 초과반환금은 근로자가 퇴직하거나 탈퇴하여 그 규약에 따라 직장공제회로부터 받는 반환금에서 납입공제료를 뺀 금액(이하 "납입금 초과이익"이라 한다)과 반환금을 분할하여 지급하는 경우 그 지급하는 기간 동안 추가로 발생하는 이익(이하 "반환금 추가이익"이라 한다)으로 한다.  </w:t>
        <w:br/>
        <w:t xml:space="preserve">③ 법 제16조제1항제11호에 따른 비영업대금(非營業貸金)의 이익은 금전의 대여를 사업목적으로 하지 아니하는 자가 일시적ㆍ우발적으로 금전을 대여함에 따라 지급받는 이자 또는 수수료 등으로 한다.  </w:t>
        <w:br/>
        <w:t xml:space="preserve">④ 거주자가 일정기간 후에 같은 종류로서 같은 양의 채권을 반환받는 조건으로 채권을 대여하고 해당 채권의 차입자로부터 지급받는 해당 채권에서 발생하는 이자에 상당하는 금액은 법 제16조제1항제12호에 따른 이자소득에 포함된다.  </w:t>
        <w:br/>
        <w:t xml:space="preserve">⑤ 법 제16조제1항제13호에서 "대통령령으로 정하는 바에 따라 결합된 경우"란 개인이 이자소득이 발생하는 상품(이하 이 항에서 "이자부상품"이라 한다)과 「자본시장과 금융투자업에 관한 법률」 제5조에 따른 파생상품(이하 "파생상품"이라 한다)을 함께 거래하는 경우로서 다음 각 호의 어느 하나에 해당하는 경우를 말한다.  </w:t>
        <w:br/>
        <w:t>1.  다음 각 목의 요건을 모두 갖추어 실질상 하나의 상품과 같이 운영되는 경우</w:t>
        <w:br/>
        <w:t>2.  다음 각 목의 요건을 모두 갖추어 장래의 특정 시점에 금융회사 등이 지급하는 파생상품(「자본시장과 금융투자업에 관한 법률」 제166조의2제1항제1호에 해당하는 경우에 한정한다)으로부터의 이익이 확정되는 경우</w:t>
        <w:br/>
        <w:t>⑥ 거주자가 환매기간에 따른 사전약정이율을 적용하여 환매수하는 조건으로 채권 또는 채권에 준하는 증권(이하 이 항 및 제26조의3제7항에서 "채권등"이라 한다)을 매도하고 환매수하는 날까지 해당 채권등의 매수인으로부터 지급받는 해당 채권등에서 발생하는 이자에 상당하는 금액은 법 제16조제1항제12호에 따른 이자소득에 포함된다.</w:t>
      </w:r>
    </w:p>
    <w:p>
      <w:pPr>
        <w:ind w:left="320"/>
      </w:pPr>
      <w:r>
        <w:rPr>
          <w:b/>
          <w:i w:val="0"/>
          <w:sz w:val="20"/>
        </w:rPr>
        <w:t xml:space="preserve">· 해설: </w:t>
      </w:r>
      <w:r>
        <w:rPr>
          <w:b w:val="0"/>
          <w:i w:val="0"/>
          <w:sz w:val="20"/>
        </w:rPr>
        <w:t>거주자가 환매수 조건으로 매도한 채권 등에서 매수인으로부터 지급받는 이자에 상당하는 금액은 이자소득에 포함됩니다.</w:t>
      </w:r>
    </w:p>
    <w:p>
      <w:pPr>
        <w:pStyle w:val="Heading1"/>
      </w:pPr>
      <w:r>
        <w:t>【결론】</w:t>
      </w:r>
    </w:p>
    <w:p>
      <w:r>
        <w:t>환매조건부 매매차익은 금융회사 등이 사전약정이율로 환매하는 조건을 충족할 때 해당 차익으로 구분되며, 환매수 조건으로 매도한 채권에서 발생하는 수익은 이자소득으로 과세됩니다. 이자부상품과 파생상품이 결합된 상품은 실질적 단일 상품 운영 또는 이익 확정 요건을 충족해야 이자소득으로 분류됩니다. 따라서 갑의 사안은 해당 요건 충족 여부에 따라 매매차익과 이자소득으로 명확히 구분하여 과세 처리해야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