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법률 질의 답변서</w:t>
      </w:r>
    </w:p>
    <w:p>
      <w:pPr>
        <w:pStyle w:val="Heading1"/>
      </w:pPr>
      <w:r>
        <w:t>【질의 내용】</w:t>
      </w:r>
    </w:p>
    <w:p>
      <w:r>
        <w:t>[상황]</w:t>
        <w:br/>
        <w:t>갑은 농어촌 도로를 상업적 목적으로 점용하고 있으며, 을은 해당 지역의 군수로서 도로 관리 책임을 맡고 있다. 갑은 도로 점용에 대한 점용료를 몇 달째 납부하지 않고 있다. 이로 인해 을은 갑에게 적절한 조치를 취하려고 한다. 또한, 갑은 점용료가 얼마인지와 그 산정 기준이 무엇인지 궁금해하고 있다.</w:t>
        <w:br/>
        <w:br/>
        <w:t>[질문] 을 군수는 갑이 도로 점용료를 내지 않을 경우 어떤 조치를 취할 수 있으며, 점용료의 산정 기준은 어떻게 정해지는가?</w:t>
        <w:br/>
        <w:br/>
        <w:t>위 상황에 적용되는 대한민국 법조문을 '법령명 제N조' 형식으로 구체적으로 인용하여 근거와 함께 답하세요.</w:t>
      </w:r>
    </w:p>
    <w:p>
      <w:pPr>
        <w:pStyle w:val="Heading1"/>
      </w:pPr>
      <w:r>
        <w:t>【답변 요지】</w:t>
      </w:r>
    </w:p>
    <w:p>
      <w:r>
        <w:t>군수는 농어촌도로를 점용하는 자에게 점용료 징수 권한을 가지며, 이를 납부하지 않을 경우 관련 법령에 따라 징수 절차를 진행할 수 있습니다. 점용료의 구체적인 금액과 산정 기준은 해당 군의 조례로 정해져 있으므로, 갑은 해당 군의 조례를 확인해야 합니다. 따라서 을 군수는 조례에 따른 산정 기준을 통지하고 미납된 점용료를 징수할 수 있는 법적 근거를 가집니다.</w:t>
      </w:r>
    </w:p>
    <w:p>
      <w:pPr>
        <w:pStyle w:val="Heading1"/>
      </w:pPr>
      <w:r>
        <w:t>【관련 법령 및 해설】</w:t>
      </w:r>
    </w:p>
    <w:p>
      <w:r>
        <w:rPr>
          <w:b/>
          <w:i w:val="0"/>
          <w:color w:val="1F3864"/>
          <w:sz w:val="22"/>
        </w:rPr>
        <w:t>▸ 농어촌도로 정비법 제19조(점용료의 징수)</w:t>
      </w:r>
      <w:r>
        <w:t xml:space="preserve">   </w:t>
      </w:r>
      <w:r>
        <w:rPr>
          <w:b/>
          <w:i w:val="0"/>
          <w:color w:val="1A7F37"/>
          <w:sz w:val="18"/>
        </w:rPr>
        <w:t>[✓ 실존]</w:t>
      </w:r>
      <w:r>
        <w:t xml:space="preserve"> </w:t>
      </w:r>
      <w:r>
        <w:rPr>
          <w:b/>
          <w:i w:val="0"/>
          <w:color w:val="1A7F37"/>
          <w:sz w:val="18"/>
        </w:rPr>
        <w:t>[✓ 내용일치]</w:t>
      </w:r>
    </w:p>
    <w:p>
      <w:pPr>
        <w:ind w:left="320"/>
      </w:pPr>
      <w:r>
        <w:rPr>
          <w:b/>
          <w:i w:val="0"/>
          <w:sz w:val="18"/>
        </w:rPr>
        <w:t xml:space="preserve">· 조문 원문: </w:t>
      </w:r>
      <w:r>
        <w:rPr>
          <w:b w:val="0"/>
          <w:i w:val="0"/>
          <w:color w:val="333333"/>
          <w:sz w:val="18"/>
        </w:rPr>
        <w:t>제19조(점용료의 징수)</w:t>
        <w:br/>
        <w:t>① 군수는 제18조에 따라 도로를 점용하는 자에게 점용료를 징수할 수 있다.</w:t>
        <w:br/>
        <w:t>② 제1항에 따른 점용료의 산정기준 등 점용료의 징수에 필요한 사항은 해당 군의 조례로 정한다.</w:t>
      </w:r>
    </w:p>
    <w:p>
      <w:pPr>
        <w:ind w:left="320"/>
      </w:pPr>
      <w:r>
        <w:rPr>
          <w:b/>
          <w:i w:val="0"/>
          <w:sz w:val="20"/>
        </w:rPr>
        <w:t xml:space="preserve">· 해설: </w:t>
      </w:r>
      <w:r>
        <w:rPr>
          <w:b w:val="0"/>
          <w:i w:val="0"/>
          <w:sz w:val="20"/>
        </w:rPr>
        <w:t>군수는 농어촌 도로를 점용하는 자에게 점용료를 징수할 수 있는 권한을 부여받습니다.</w:t>
      </w:r>
    </w:p>
    <w:p>
      <w:r>
        <w:rPr>
          <w:b/>
          <w:i w:val="0"/>
          <w:color w:val="1F3864"/>
          <w:sz w:val="22"/>
        </w:rPr>
        <w:t>▸ 도로법 제66조(점용료의 징수 등)</w:t>
      </w:r>
      <w:r>
        <w:t xml:space="preserve">   </w:t>
      </w:r>
      <w:r>
        <w:rPr>
          <w:b/>
          <w:i w:val="0"/>
          <w:color w:val="1A7F37"/>
          <w:sz w:val="18"/>
        </w:rPr>
        <w:t>[✓ 실존]</w:t>
      </w:r>
      <w:r>
        <w:t xml:space="preserve"> </w:t>
      </w:r>
      <w:r>
        <w:rPr>
          <w:b/>
          <w:i w:val="0"/>
          <w:color w:val="1A7F37"/>
          <w:sz w:val="18"/>
        </w:rPr>
        <w:t>[✓ 내용일치]</w:t>
      </w:r>
    </w:p>
    <w:p>
      <w:pPr>
        <w:ind w:left="320"/>
      </w:pPr>
      <w:r>
        <w:rPr>
          <w:b/>
          <w:i w:val="0"/>
          <w:sz w:val="18"/>
        </w:rPr>
        <w:t xml:space="preserve">· 조문 원문: </w:t>
      </w:r>
      <w:r>
        <w:rPr>
          <w:b w:val="0"/>
          <w:i w:val="0"/>
          <w:color w:val="333333"/>
          <w:sz w:val="18"/>
        </w:rPr>
        <w:t>제66조(점용료의 징수 등)</w:t>
        <w:br/>
        <w:t>① 도로관리청은 도로점용허가를 받아 도로를 점용하는 자로부터 점용료를 징수할 수 있다.</w:t>
        <w:br/>
        <w:t>② 도로관리청은 다음 각 호의 어느 하나에 해당하는 경우에는 이미 징수한 점용료 중 도로점용허가 취소 등의 사유로 도로를 점용하지 아니하게 된 기간분의 점용료를 반환하여야 한다.</w:t>
        <w:br/>
        <w:t>1.  제63조에 따라 도로점용허가를 취소한 경우</w:t>
        <w:br/>
        <w:t>2.  제96조에 따라 도로점용허가를 취소한 경우</w:t>
        <w:br/>
        <w:t>3.  그 밖에 도로점용허가 기간이 종료하기 전에 도로점용을 종료한 경우 등 대통령령으로 정하는 경우</w:t>
        <w:br/>
        <w:t xml:space="preserve">③ 도로관리청은 제1항에 따른 점용료(이하 "점용료"라 한다) 징수를 위하여 필요하면 「부동산등기법」 제109조의2제1항에 따른 등기정보자료 및 「건축법」 제32조에 따른 전자정보처리 시스템을 이용할 수 있다.  </w:t>
        <w:br/>
        <w:t>④ 점용료의 산정기준, 제2항에 따른 점용료의 반환 방법 등 점용료의 징수 및 반환 등에 필요한 사항은 고속국도 및 일반국도(제23조제2항에 따라 시ㆍ도지사 또는 시장ㆍ군수ㆍ구청장이 도로관리청이 되는 일반국도는 제외한다)에 관하여는 대통령령으로 정하고, 그 밖의 도로에 관하여는 대통령령으로 정하는 범위에서 해당 도로관리청이 속하는 지방자치단체의 조례로 정한다.</w:t>
        <w:br/>
        <w:t>⑤ 제4항에도 불구하고 제61조제4항에 따라 일반경쟁에 부치는 방식으로 도로점용허가를 받은 자에 대해서는 해당 일반경쟁에 부친 때 도로점용허가를 받은 자가 제시한 금액을 점용료로 부과한다. 다만, 그 점용료는 제4항에 따라 산정된 점용료의 3배를 초과할 수 없다.</w:t>
      </w:r>
    </w:p>
    <w:p>
      <w:pPr>
        <w:ind w:left="320"/>
      </w:pPr>
      <w:r>
        <w:rPr>
          <w:b/>
          <w:i w:val="0"/>
          <w:sz w:val="20"/>
        </w:rPr>
        <w:t xml:space="preserve">· 해설: </w:t>
      </w:r>
      <w:r>
        <w:rPr>
          <w:b w:val="0"/>
          <w:i w:val="0"/>
          <w:sz w:val="20"/>
        </w:rPr>
        <w:t>도로관리청은 도로점용허가를 받은 자로부터 점용료를 징수할 수 있으나, 본 사안은 농어촌도로 정비법 적용 대상입니다.</w:t>
      </w:r>
    </w:p>
    <w:p>
      <w:pPr>
        <w:pStyle w:val="Heading1"/>
      </w:pPr>
      <w:r>
        <w:t>【결론】</w:t>
      </w:r>
    </w:p>
    <w:p>
      <w:r>
        <w:t>을 군수는 농어촌도로 정비법 제19조에 따라 갑에게 점용료 납부를 요구할 수 있으며, 미납 시 징수 절차를 밟을 수 있습니다. 점용료의 금액과 산정 기준은 해당 군의 조례에 명시되어 있으므로, 갑은 이를 확인하여 납부해야 합니다. 실무적으로는 조례에 따른 산정 내역을 명확히 통지하고, 미납 시 행정적 강제 징수 절차를 고려해야 합니다.</w:t>
      </w:r>
    </w:p>
    <w:p>
      <w:pPr>
        <w:jc w:val="center"/>
      </w:pPr>
      <w:r>
        <w:rPr>
          <w:b w:val="0"/>
          <w:i w:val="0"/>
          <w:color w:val="666666"/>
        </w:rPr>
        <w:t>──────────────────────────────</w:t>
      </w:r>
    </w:p>
    <w:p>
      <w:r>
        <w:rPr>
          <w:b/>
          <w:i w:val="0"/>
          <w:sz w:val="20"/>
        </w:rPr>
        <w:t>인용 검증: 2/2 법제처 확인  |  내용 일치: 2/2  |  환각: 0건</w:t>
      </w:r>
    </w:p>
    <w:p>
      <w:r>
        <w:rPr>
          <w:b w:val="0"/>
          <w:i w:val="0"/>
          <w:color w:val="666666"/>
          <w:sz w:val="18"/>
        </w:rPr>
        <w:t>자율 수정: 0회  |  생성: Qwen3.5-27B · 교차검증: DeepSeek-R1-Distill-Qwen-32B (온프레미스)</w:t>
      </w:r>
    </w:p>
    <w:p>
      <w:r>
        <w:rPr>
          <w:b w:val="0"/>
          <w:i w:val="0"/>
          <w:color w:val="666666"/>
          <w:sz w:val="18"/>
        </w:rPr>
        <w:t>문서 생성: 2026-07-14  |  법제처 국가법령정보 Open API 근거 기반 자동 검증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