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농촌개발사업 시행자로 지정되어, 을과 병이 포함된 지역에서 토지 및 건물의 환지 처분을 진행하게 되었습니다. 환지 과정에서 갑은 지역 주민들의 불만과 을과 병 사이의 경계 분쟁을 해결해야 하는 상황에 처했습니다. 또한, 환지 처분에 따른 토지와 건물의 등기가 언제 이루어져야 하는지에 대해 혼란을 겪고 있습니다.</w:t>
        <w:br/>
        <w:br/>
        <w:t>[질문] 갑은 환지에 따른 을과 병 간의 분쟁을 조정하기 위해 무엇을 구성해야 하며, 환지 처분과 관련된 토지 및 건물의 등기는 언제 이루어져야 하는가?</w:t>
        <w:br/>
        <w:br/>
        <w:t>위 상황에 적용되는 대한민국 법조문을 '법령명 제N조' 형식으로 구체적으로 인용하여 근거와 함께 답하세요.</w:t>
      </w:r>
    </w:p>
    <w:p>
      <w:pPr>
        <w:pStyle w:val="Heading1"/>
      </w:pPr>
      <w:r>
        <w:t>【답변 요지】</w:t>
      </w:r>
    </w:p>
    <w:p>
      <w:r>
        <w:t>농어촌정비법상 환지 계획 수립은 사업 시행 전 토지를 대체할 사업 후 토지를 정하고 이해관계 불균형을 금전으로 청산하는 절차를 의미하며, 이를 통해 경계 분쟁의 기초를 마련합니다. 환지 처분과 관련된 토지 및 건물의 등기는 사업 시행자가 인가를 받은 후 지체 없이 촉탁해야 하는 의무 사항입니다. 따라서 갑은 환지 계획을 수립하여 분쟁의 근거를 명확히 하고, 인가 즉시 등기 촉탁을 통해 법적 효력을 발생시켜야 합니다.</w:t>
      </w:r>
    </w:p>
    <w:p>
      <w:pPr>
        <w:pStyle w:val="Heading1"/>
      </w:pPr>
      <w:r>
        <w:t>【관련 법령 및 해설】</w:t>
      </w:r>
    </w:p>
    <w:p>
      <w:r>
        <w:rPr>
          <w:b/>
          <w:i w:val="0"/>
          <w:color w:val="1F3864"/>
          <w:sz w:val="22"/>
        </w:rPr>
        <w:t>▸ 농어촌정비법 제25조(환지계획)</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제25조(환지계획)</w:t>
        <w:br/>
        <w:t>① 농업생산기반 정비사업 시행자는 농업생산기반 정비사업 시행을 위하여 필요하면 사업 시행 전의 토지를 대신하여 사업 시행 후의 토지를 정하고, 이로 인하여 생긴 이해관계의 불균형을 금전으로 청산하게 하기 위한 환지계획을 세워야 한다.</w:t>
        <w:br/>
        <w:t>② 환지계획에서 환지는 종전의 토지와 상응하여야 하되, 농업생산기반 정비사업 시행에 따른 환지는 농업경영의 합리화에 기여할 수 있도록 집단 지정하여야 한다.</w:t>
        <w:br/>
        <w:t>③ 환지를 받을 수 있는 자는 토지등기부상의 토지 소유자여야 한다.</w:t>
        <w:br/>
        <w:t xml:space="preserve">④ 환지계획에는 농림축산식품부령으로 정하는 바에 따라 다음 각 호의 사항이 포함되어야 한다.  </w:t>
        <w:br/>
        <w:t>1.  토지 소유자별 환지계획 및 청산금 내용</w:t>
        <w:br/>
        <w:t>2.  종전 토지 및 시행 후 토지의 필지별 내용</w:t>
        <w:br/>
        <w:t>3.  환지를 지정하지 아니하는 토지 및 그 밖에 특별한 취급을 하는 토지의 내용</w:t>
        <w:br/>
        <w:t>4.  그 밖에 농림축산식품부령으로 정하는 사항</w:t>
        <w:br/>
        <w:t>⑤ 농업생산기반 정비사업 시행에 따른 환지는 농경지로 지정함을 원칙으로 한다. 다만, 생활환경정비사업 병행 시 토지 소유자가 신청하거나 동의할 경우에는 비농경지로 지정할 수 있다.</w:t>
        <w:br/>
        <w:t>⑥ 환지로 지정되는 면적은 대통령령으로 정하는 바에 따라 산정한 면적과 비교하여 토지 소유자별로 증감 폭이 100분의 20 이내가 되도록 하여야 한다. 다만, 그 산정한 면적의 100분의 20에 해당하는 면적이 1천제곱미터 미만이면 1천제곱미터까지 늘리거나 줄일 수 있다.</w:t>
        <w:br/>
        <w:t>⑦ 국공유지나 한국농어촌공사 소유가 아닌 토지 중 지목이 구거(溝渠: 도랑), 도로, 하천, 제방(둑) 또는 유지(웅덩이)인 토지로서 실제 경작하지 아니한 경우와 환지계획구역에 1천제곱미터 이하의 토지 소유자가 있는 경우에는 환지를 지정하지 아니하고 금전으로 청산한다. 다만, 제40조에 따른 수혜자총회의 의결(대의원회의 의결로 수혜자총회의 의결을 갈음하는 경우를 포함한다)이 있을 경우에는 1천제곱미터 이하의 토지 소유자에게도 환지를 지정할 수 있다.</w:t>
        <w:br/>
        <w:t>⑧ 농업생산기반 정비사업 시행자는 제1항에 따라 환지계획을 수립할 때에 종전 토지의 전부 또는 일부에 소유권 외의 권리 또는 처분 제한이 있는 경우 종전 토지와 교환될 토지에 그 소유권 외의 권리 또는 처분 제한의 목적이 되는 부분을 지정하여야 한다.</w:t>
      </w:r>
    </w:p>
    <w:p>
      <w:pPr>
        <w:ind w:left="320"/>
      </w:pPr>
      <w:r>
        <w:rPr>
          <w:b/>
          <w:i w:val="0"/>
          <w:sz w:val="20"/>
        </w:rPr>
        <w:t xml:space="preserve">· 해설: </w:t>
      </w:r>
      <w:r>
        <w:rPr>
          <w:b w:val="0"/>
          <w:i w:val="0"/>
          <w:sz w:val="20"/>
        </w:rPr>
        <w:t>농업생산기반 정비사업 시행자는 사업 시행 전 토지를 대신할 사업 후 토지를 정하고 이해관계 불균형을 금전으로 청산하기 위한 환지계획을 세워야 합니다. 이 조문은 환지 과정에서 발생할 수 있는 토지 소유권 변경과 이로 인한 이해관계 불균형을 해결하기 위한 기본 절차를 규정합니다. 환지계획 수립은 을과 병 사이의 경계 분쟁을 해결하고 새로운 토지 배분을 확정하는 법적 근거가 됩니다.</w:t>
      </w:r>
    </w:p>
    <w:p>
      <w:r>
        <w:rPr>
          <w:b/>
          <w:i w:val="0"/>
          <w:color w:val="1F3864"/>
          <w:sz w:val="22"/>
        </w:rPr>
        <w:t>▸ 농어촌정비법 제42조(환지 처분에 따른 등기)</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제42조(환지 처분에 따른 등기)</w:t>
        <w:br/>
        <w:t>① 농업생산기반 정비사업 시행자는 제26조제1항에 따른 인가를 받은 때에는 지체 없이 해당 환지 처분과 관련된 토지 및 건물의 등기를 촉탁(囑託)하여야 한다.</w:t>
        <w:br/>
        <w:t>② 농업생산기반 정비사업 시행자는 환지등기를 촉탁하기 위하여 이미 등기된 토지의 표시를 변경할 필요가 있을 때에는 토지 소유자를 갈음하여 변경등기를 촉탁하여야 한다. 이 경우의 등기는 농업생산기반 정비사업으로 인한 등기로 본다.</w:t>
        <w:br/>
        <w:t>③ 환지 처분에 따른 등기에 관하여 필요한 사항은 대법원규칙으로 정한다.</w:t>
      </w:r>
    </w:p>
    <w:p>
      <w:pPr>
        <w:ind w:left="320"/>
      </w:pPr>
      <w:r>
        <w:rPr>
          <w:b/>
          <w:i w:val="0"/>
          <w:sz w:val="20"/>
        </w:rPr>
        <w:t xml:space="preserve">· 해설: </w:t>
      </w:r>
      <w:r>
        <w:rPr>
          <w:b w:val="0"/>
          <w:i w:val="0"/>
          <w:sz w:val="20"/>
        </w:rPr>
        <w:t>농업생산기반 정비사업 시행자는 인가를 받은 때에는 지체 없이 해당 환지 처분과 관련된 토지 및 건물의 등기를 촉탁하여야 합니다. 이 조문은 환지 처분의 법적 효력을 완성하기 위해 등기 촉탁을 인가 후 즉시 수행해야 할 의무로 명시하고 있습니다. 등기 촉탁 시기를 지체 없이 규정함으로써 환지 처분 후의 권리 변동이 신속하게 공시되도록 합니다.</w:t>
      </w:r>
    </w:p>
    <w:p>
      <w:pPr>
        <w:pStyle w:val="Heading1"/>
      </w:pPr>
      <w:r>
        <w:t>【결론】</w:t>
      </w:r>
    </w:p>
    <w:p>
      <w:r>
        <w:t>갑은 환지계획을 수립하여 을과 병 간의 경계 분쟁을 해결할 법적 근거를 마련하고, 사업 인가를 받은 즉시 토지 및 건물의 등기 촉탁을 진행해야 합니다. 환지계획은 이해관계 불균형을 금전으로 청산하는 절차를 포함하므로 이를 통해 주민들의 불만을 해소할 수 있습니다. 등기 촉탁을 지체 없이 수행하지 않을 경우 환지 처분의 효력 발생이 지연되어 추가적인 분쟁이 발생할 수 있으므로 주의해야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