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을을 수익자로 지정한 신탁을 설정하였다. 그러나 이후 을은 수익권을 포기하겠다는 의사를 표시하였다. 이 과정에서 기존 수탁자가 사임하였고, 신탁사무 처리를 둘러싼 채권 관계가 일부 발생한 상태에서 병이 신수탁자로 새롭게 지정되었다. 병은 기존 신탁사무 처리와 관련된 채무 승계 여부에 대해 확인이 필요한 상황이다.</w:t>
        <w:br/>
        <w:br/>
        <w:t>[질문] 신탁행위에 따라 수익자로 지정된 을은 자동적으로 수익권을 취득하게 되는가? 또, 을이 수익권을 포기한 경우 해당 수익권은 어떤 법적 효과를 가지는가? 또한, 병이 신수탁자로 지정된 경우 기존 신탁사무 처리로 발생한 채권에 대한 병의 채무 승계는 어떤 기준에 따라 이루어지는가?</w:t>
        <w:br/>
        <w:br/>
        <w:t>위 상황에 적용되는 대한민국 법조문을 '법령명 제N조' 형식으로 구체적으로 인용하여 근거와 함께 답하세요.</w:t>
      </w:r>
    </w:p>
    <w:p>
      <w:pPr>
        <w:pStyle w:val="Heading1"/>
      </w:pPr>
      <w:r>
        <w:t>【답변 요지】</w:t>
      </w:r>
    </w:p>
    <w:p>
      <w:r>
        <w:t>신탁행위로 수익자로 지정된 자는 별도의 수락 절차 없이 당연히 수익권을 취득합니다. 수익자가 수익권을 포기할 경우 그 권리는 소멸하며, 이는 신탁행위나 신탁변경 합의에 따라 달리 정하지 않는 한 원칙적으로 적용됩니다. 다만, 제공된 참고 조문에는 수탁자 변경 시 기존 채무의 승계 기준에 관한 규정이 포함되어 있지 않아 해당 부분은 판단할 수 없습니다.</w:t>
      </w:r>
    </w:p>
    <w:p>
      <w:pPr>
        <w:pStyle w:val="Heading1"/>
      </w:pPr>
      <w:r>
        <w:t>【관련 법령 및 해설】</w:t>
      </w:r>
    </w:p>
    <w:p>
      <w:r>
        <w:rPr>
          <w:b/>
          <w:i w:val="0"/>
          <w:color w:val="1F3864"/>
          <w:sz w:val="22"/>
        </w:rPr>
        <w:t>▸ 신탁법 제56조(수익권의 취득)</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제56조(수익권의 취득)</w:t>
        <w:br/>
        <w:t>① 신탁행위로 정한 바에 따라 수익자로 지정된 자(제58조제1항 및 제2항에 따라 수익자로 지정된 자를 포함한다)는 당연히 수익권을 취득한다. 다만, 신탁행위로 달리 정한 경우에는 그에 따른다.</w:t>
        <w:br/>
        <w:t>② 수탁자는 지체 없이 제1항에 따라 수익자로 지정된 자에게 그 사실을 통지하여야 한다. 다만, 수익권에 부담이 있는 경우를 제외하고는 신탁행위로 통지시기를 달리 정할 수 있다.</w:t>
      </w:r>
    </w:p>
    <w:p>
      <w:pPr>
        <w:ind w:left="320"/>
      </w:pPr>
      <w:r>
        <w:rPr>
          <w:b/>
          <w:i w:val="0"/>
          <w:sz w:val="20"/>
        </w:rPr>
        <w:t xml:space="preserve">· 해설: </w:t>
      </w:r>
      <w:r>
        <w:rPr>
          <w:b w:val="0"/>
          <w:i w:val="0"/>
          <w:sz w:val="20"/>
        </w:rPr>
        <w:t>신탁행위로 정한 바에 따라 수익자로 지정된 자는 별도의 수락 절차 없이 당연히 수익권을 취득하게 됩니다. 다만, 신탁행위로 달리 정한 경우에는 그에 따른다는 예외 규정이 존재합니다. 수탁자는 지체 없이 수익자로 지정된 자에게 그 사실을 통지해야 하며, 수익권에 부담이 없는 한 통지 시기를 달리 정할 수 있습니다.</w:t>
      </w:r>
    </w:p>
    <w:p>
      <w:r>
        <w:rPr>
          <w:b/>
          <w:i w:val="0"/>
          <w:color w:val="1F3864"/>
          <w:sz w:val="22"/>
        </w:rPr>
        <w:t>▸ 신탁법 제89조(반대수익자의 수익권매수청구권)</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제89조(반대수익자의 수익권매수청구권)</w:t>
        <w:br/>
        <w:t>① 다음 각 호의 어느 하나에 해당하는 사항에 관한 변경에 반대하는 수익자는 신탁변경이 있은 날부터 20일 내에 수탁자에게 수익권의 매수를 서면으로 청구할 수 있다.</w:t>
        <w:br/>
        <w:t>1.  신탁의 목적</w:t>
        <w:br/>
        <w:t>2.  수익채권의 내용</w:t>
        <w:br/>
        <w:t>3.  신탁행위로 수익권매수청구권을 인정한 사항</w:t>
        <w:br/>
        <w:t>② 수탁자는 제1항의 청구를 받은 날부터 2개월 내에 매수한 수익권의 대금을 지급하여야 한다.</w:t>
        <w:br/>
        <w:t>③ 제2항에 따른 수익권의 매수가액은 수탁자와 수익자 간의 협의로 결정한다.</w:t>
        <w:br/>
        <w:t>④ 제1항의 청구를 받은 날부터 30일 내에 제3항에 따른 협의가 이루어지지 아니한 경우 수탁자나 수익권의 매수를 청구한 수익자는 법원에 매수가액의 결정을 청구할 수 있다.</w:t>
        <w:br/>
        <w:t>⑤ 법원이 제4항에 따라 수익권의 매수가액을 결정하는 경우에는 신탁의 재산상태나 그 밖의 사정을 고려하여 공정한 가액으로 산정하여야 한다.</w:t>
        <w:br/>
        <w:t>⑥ 수탁자는 법원이 결정한 매수가액에 대한 이자를 제2항의 기간만료일 다음 날부터 지급하여야 한다.</w:t>
        <w:br/>
        <w:t>⑦ 수탁자는 수익권매수청구에 대한 채무의 경우 신탁재산만으로 책임을 진다. 다만, 신탁행위 또는 신탁변경의 합의로 달리 정한 경우에는 그에 따른다.</w:t>
        <w:br/>
        <w:t>⑧ 제1항의 청구에 의하여 수탁자가 수익권을 취득한 경우 그 수익권은 소멸한다. 다만, 신탁행위 또는 신탁변경의 합의로 달리 정한 경우에는 그에 따른다.</w:t>
      </w:r>
    </w:p>
    <w:p>
      <w:pPr>
        <w:ind w:left="320"/>
      </w:pPr>
      <w:r>
        <w:rPr>
          <w:b/>
          <w:i w:val="0"/>
          <w:sz w:val="20"/>
        </w:rPr>
        <w:t xml:space="preserve">· 해설: </w:t>
      </w:r>
      <w:r>
        <w:rPr>
          <w:b w:val="0"/>
          <w:i w:val="0"/>
          <w:sz w:val="20"/>
        </w:rPr>
        <w:t>수탁자가 수익권을 취득한 경우 그 수익권은 소멸하게 됩니다. 다만, 신탁행위 또는 신탁변경의 합의로 달리 정한 경우에는 그에 따른다는 예외 규정이 적용됩니다.</w:t>
      </w:r>
    </w:p>
    <w:p>
      <w:pPr>
        <w:pStyle w:val="Heading1"/>
      </w:pPr>
      <w:r>
        <w:t>【결론】</w:t>
      </w:r>
    </w:p>
    <w:p>
      <w:r>
        <w:t>을은 신탁행위에 따라 지정된 시점부터 자동적으로 수익권을 취득하며, 이를 포기할 경우 해당 권리는 소멸하는 법적 효과를 가집니다. 그러나 신수탁자 병의 기존 채무 승계 여부에 대해서는 제공된 참고 조문 범위 내에서 명확한 근거를 찾아 적용할 수 없습니다. 따라서 채무 승계 문제는 신탁법 제89조 외의 다른 조문이나 신탁계약의 구체적 내용을 확인해야 합니다.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