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을의 가게에서 절도를 하다가 현장에서 붙잡혔다. 사법경찰관 병은 갑을 체포한 후, 체포 영장 없이 갑의 집을 수색하여 훔친 물건을 발견했다. 이후 검사 정은 갑을 피의자로 하여 피의자신문조서를 작성하였다. 공판이 시작되었을 때, 변호사 김은 갑의 집에서 수집한 증거와 검사 정이 작성한 피의자신문조서의 증거능력에 대해 이의를 제기하였다.</w:t>
        <w:br/>
        <w:br/>
        <w:t>[질문] 병이 체포영장 없이 갑의 집에서 수집한 증거와, 검사 정이 작성한 피의자신문조서는 법정에서 각각 어떤 취급을 받는가?</w:t>
        <w:br/>
        <w:br/>
        <w:t>위 상황에 적용되는 대한민국 법조문을 '법령명 제N조' 형식으로 구체적으로 인용하여 근거와 함께 답하세요.</w:t>
      </w:r>
    </w:p>
    <w:p>
      <w:pPr>
        <w:pStyle w:val="Heading1"/>
      </w:pPr>
      <w:r>
        <w:t>【답변 요지】</w:t>
      </w:r>
    </w:p>
    <w:p>
      <w:r>
        <w:t>체포영장 없이 수집한 증거는 적법한 절차에 따라 작성되지 않았으므로 증거능력이 부정될 가능성이 높습니다. 검사 작성 피의자신문조서는 공판기일에 피고인이나 변호인이 그 내용을 인정할 때에만 증거로 할 수 있습니다. 따라서 두 증거 모두 법정에서 증거로 채택되기 위해서는 각자의 엄격한 요건을 충족해야 합니다.</w:t>
      </w:r>
    </w:p>
    <w:p>
      <w:pPr>
        <w:pStyle w:val="Heading1"/>
      </w:pPr>
      <w:r>
        <w:t>【관련 법령 및 해설】</w:t>
      </w:r>
    </w:p>
    <w:p>
      <w:r>
        <w:rPr>
          <w:b/>
          <w:i w:val="0"/>
          <w:color w:val="1F3864"/>
          <w:sz w:val="22"/>
        </w:rPr>
        <w:t>▸ 형사소송법 제201조(구속)</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제201조(구속)</w:t>
        <w:br/>
        <w:t xml:space="preserve">①피의자가 죄를 범하였다고 의심할 만한 상당한 이유가 있고 제70조제1항 각 호의 1에 해당하는 사유가 있을 때에는 검사는 관할지방법원판사에게 청구하여 구속영장을 받아 피의자를 구속할 수 있고 사법경찰관은 검사에게 신청하여 검사의 청구로 관할지방법원판사의 구속영장을 받아 피의자를 구속할 수 있다. 다만, 다액 50만원이하의 벌금, 구류 또는 과료에 해당하는 범죄에 관하여는 피의자가 일정한 주거가 없는 경우에 한한다.  </w:t>
        <w:br/>
        <w:t xml:space="preserve">②구속영장의 청구에는 구속의 필요를 인정할 수 있는 자료를 제출하여야 한다.  </w:t>
        <w:br/>
        <w:t xml:space="preserve">③제1항의 청구를 받은 지방법원판사는 신속히 구속영장의 발부여부를 결정하여야 한다.  </w:t>
        <w:br/>
        <w:t xml:space="preserve">④제1항의 청구를 받은 지방법원판사는 상당하다고 인정할 때에는 구속영장을 발부한다. 이를 발부하지 아니할 때에는 청구서에 그 취지 및 이유를 기재하고 서명날인하여 청구한 검사에게 교부한다.  </w:t>
        <w:br/>
        <w:t>⑤검사가 제1항의 청구를 함에 있어서 동일한 범죄사실에 관하여 그 피의자에 대하여 전에 구속영장을 청구하거나 발부받은 사실이 있을 때에는 다시 구속영장을 청구하는 취지 및 이유를 기재하여야 한다.</w:t>
      </w:r>
    </w:p>
    <w:p>
      <w:pPr>
        <w:ind w:left="320"/>
      </w:pPr>
      <w:r>
        <w:rPr>
          <w:b/>
          <w:i w:val="0"/>
          <w:sz w:val="20"/>
        </w:rPr>
        <w:t xml:space="preserve">· 해설: </w:t>
      </w:r>
      <w:r>
        <w:rPr>
          <w:b w:val="0"/>
          <w:i w:val="0"/>
          <w:sz w:val="20"/>
        </w:rPr>
        <w:t>피의자를 구속하려면 상당한 이유가 있고 법정 사유가 있을 때 검사가 판사에게 청구하여 영장을 받아야 하며, 영장 없이 체포한 상태에서 수색을 한 것은 적법한 절차에 의하지 않은 것으로 볼 수 있습니다.</w:t>
      </w:r>
    </w:p>
    <w:p>
      <w:r>
        <w:rPr>
          <w:b/>
          <w:i w:val="0"/>
          <w:color w:val="1F3864"/>
          <w:sz w:val="22"/>
        </w:rPr>
        <w:t>▸ 형사소송법 제312조(검사 또는 사법경찰관의 조서 등)</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제312조(검사 또는 사법경찰관의 조서 등)</w:t>
        <w:br/>
        <w:t xml:space="preserve">① 검사가 작성한 피의자신문조서는 적법한 절차와 방식에 따라 작성된 것으로서 공판준비, 공판기일에 그 피의자였던 피고인 또는 변호인이 그 내용을 인정할 때에 한정하여 증거로 할 수 있다.  </w:t>
        <w:br/>
        <w:t xml:space="preserve">② 삭제  </w:t>
        <w:br/>
        <w:t>③검사 이외의 수사기관이 작성한 피의자신문조서는 적법한 절차와 방식에 따라 작성된 것으로서 공판준비 또는 공판기일에 그 피의자였던 피고인 또는 변호인이 그 내용을 인정할 때에 한하여 증거로 할 수 있다.</w:t>
        <w:br/>
        <w:t>④검사 또는 사법경찰관이 피고인이 아닌 자의 진술을 기재한 조서는 적법한 절차와 방식에 따라 작성된 것으로서 그 조서가 검사 또는 사법경찰관 앞에서 진술한 내용과 동일하게 기재되어 있음이 원진술자의 공판준비 또는 공판기일에서의 진술이나 영상녹화물 또는 그 밖의 객관적인 방법에 의하여 증명되고, 피고인 또는 변호인이 공판준비 또는 공판기일에 그 기재 내용에 관하여 원진술자를 신문할 수 있었던 때에는 증거로 할 수 있다. 다만, 그 조서에 기재된 진술이 특히 신빙할 수 있는 상태하에서 행하여졌음이 증명된 때에 한한다.</w:t>
        <w:br/>
        <w:t>⑤제1항부터 제4항까지의 규정은 피고인 또는 피고인이 아닌 자가 수사과정에서 작성한 진술서에 관하여 준용한다.</w:t>
        <w:br/>
        <w:t>⑥검사 또는 사법경찰관이 검증의 결과를 기재한 조서는 적법한 절차와 방식에 따라 작성된 것으로서 공판준비 또는 공판기일에서의 작성자의 진술에 따라 그 성립의 진정함이 증명된 때에는 증거로 할 수 있다.</w:t>
      </w:r>
    </w:p>
    <w:p>
      <w:pPr>
        <w:ind w:left="320"/>
      </w:pPr>
      <w:r>
        <w:rPr>
          <w:b/>
          <w:i w:val="0"/>
          <w:sz w:val="20"/>
        </w:rPr>
        <w:t xml:space="preserve">· 해설: </w:t>
      </w:r>
      <w:r>
        <w:rPr>
          <w:b w:val="0"/>
          <w:i w:val="0"/>
          <w:sz w:val="20"/>
        </w:rPr>
        <w:t>검사가 작성한 피의자신문조서는 적법한 절차와 방식에 따라 작성된 것으로서 공판기일에 피고인이나 변호인이 내용을 인정할 때에 한하여 증거로 할 수 있습니다.</w:t>
      </w:r>
    </w:p>
    <w:p>
      <w:pPr>
        <w:pStyle w:val="Heading1"/>
      </w:pPr>
      <w:r>
        <w:t>【결론】</w:t>
      </w:r>
    </w:p>
    <w:p>
      <w:r>
        <w:t>병이 영장 없이 수색하여 수집한 증거는 적법절차 위반으로 증거능력이 부정될 수 있으며, 검사 정이 작성한 피의자신문조서는 피고인이나 변호인의 인정 없이는 증거로 채택되지 않습니다. 변호사 김의 이의는 적법절차 위반과 증거능력 요건 불충족을 근거로 하여 타당성이 있습니다. 법원은 위 두 증거에 대해 엄격하게 증거능력을 심사하여 채택 여부를 결정해야 합니다.</w:t>
      </w:r>
    </w:p>
    <w:p>
      <w:pPr>
        <w:jc w:val="center"/>
      </w:pPr>
      <w:r>
        <w:rPr>
          <w:b w:val="0"/>
          <w:i w:val="0"/>
          <w:color w:val="666666"/>
        </w:rPr>
        <w:t>──────────────────────────────</w:t>
      </w:r>
    </w:p>
    <w:p>
      <w:r>
        <w:rPr>
          <w:b/>
          <w:i w:val="0"/>
          <w:sz w:val="20"/>
        </w:rPr>
        <w:t>인용 검증: 2/2 법제처 확인  |  내용 일치: 2/2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