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자신의 재산을 을을 수탁자로 하여 신탁을 설정하고 병을 수익자로 지정하였다. 을은 신탁 재산을 관리하며, 병은 신탁 재산에서 이익을 얻을 권리가 있다. 시간이 흘러, 을의 개인 사정으로 인해 신탁의 수탁자가 정으로 변경되었다. 이후, 병은 신탁 재산의 일부에 대한 인도를 정에게 요구하였다. 한편, 을이 신탁 재산을 관리하는 동안 발생한 제3자에 대한 신탁채권이 남아 있는 상황이다.</w:t>
        <w:br/>
        <w:br/>
        <w:t>[질문] 병이 정에게 신탁 재산의 일부에 대한 인도를 요구할 수 있는 수익채권과 을이 갑의 재산을 관리하는 기간에 발생한 신탁채권 중 어느 쪽이 우선순위가 있으며, 정이 수탁자로 변경된 경우, 정은 을이 신탁행위로 인하여 병에게 부담하는 채무를 어떻게 승계하는가?</w:t>
        <w:br/>
        <w:br/>
        <w:t>위 상황에 적용되는 대한민국 법조문을 '법령명 제N조' 형식으로 구체적으로 인용하여 근거와 함께 답하세요.</w:t>
      </w:r>
    </w:p>
    <w:p>
      <w:pPr>
        <w:pStyle w:val="Heading1"/>
      </w:pPr>
      <w:r>
        <w:t>【답변 요지】</w:t>
      </w:r>
    </w:p>
    <w:p>
      <w:r>
        <w:t>신탁채권은 수익자가 수탁자에게 신탁재산의 인도를 요구하는 수익채권보다 우선합니다. 따라서 을이 관리 기간에 발생한 제3자에 대한 신탁채권이 병의 수익채권보다 먼저 변제되어야 합니다. 수탁자가 정으로 변경된 경우, 정은 신탁재산과 함께 을이 부담하던 채무를 포괄적으로 승계하게 됩니다. 이는 신탁재산이 독립된 재산으로서 신탁채권 변제에 우선적으로 사용되어야 한다는 원칙에 기인합니다.</w:t>
      </w:r>
    </w:p>
    <w:p>
      <w:pPr>
        <w:pStyle w:val="Heading1"/>
      </w:pPr>
      <w:r>
        <w:t>【관련 법령 및 해설】</w:t>
      </w:r>
    </w:p>
    <w:p>
      <w:r>
        <w:rPr>
          <w:b/>
          <w:i w:val="0"/>
          <w:color w:val="1F3864"/>
          <w:sz w:val="22"/>
        </w:rPr>
        <w:t>▸ 신탁법 제62조(수익채권과 신탁채권의 관계)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제62조(수익채권과 신탁채권의 관계) 신탁채권은 수익자가 수탁자에게 신탁재산에 속한 재산의 인도와 그 밖에 신탁재산에 기한 급부를 요구하는 청구권(이하 "수익채권"이라 한다)보다 우선한다.</w:t>
      </w:r>
    </w:p>
    <w:p>
      <w:pPr>
        <w:ind w:left="320"/>
      </w:pPr>
      <w:r>
        <w:rPr>
          <w:b/>
          <w:i w:val="0"/>
          <w:sz w:val="20"/>
        </w:rPr>
        <w:t xml:space="preserve">· 해설: </w:t>
      </w:r>
      <w:r>
        <w:rPr>
          <w:b w:val="0"/>
          <w:i w:val="0"/>
          <w:sz w:val="20"/>
        </w:rPr>
        <w:t>신탁채권은 수익자가 수탁자에게 신탁재산에 속한 재산의 인도와 그 밖에 신탁재산에 기한 급부를 요구하는 청구권인 수익채권보다 우선합니다. 이 조항은 신탁재산이 수익자의 개인 채권보다 신탁 운영 과정에서 발생한 채권 변제에 먼저 사용되어야 함을 명시합니다. 따라서 병이 정에게 요구하는 재산 인도 청구권은 을이 관리 중 발생한 신탁채권 변제 이후에 충족될 수 있습니다.</w:t>
      </w:r>
    </w:p>
    <w:p>
      <w:r>
        <w:rPr>
          <w:b/>
          <w:i w:val="0"/>
          <w:color w:val="1F3864"/>
          <w:sz w:val="22"/>
        </w:rPr>
        <w:t>▸ 신탁법 제2조(신탁의 정의)</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제2조(신탁의 정의) 이 법에서 "신탁"이란 신탁을 설정하는 자(이하 "위탁자"라 한다)와 신탁을 인수하는 자(이하 "수탁자"라 한다) 간의 신임관계에 기하여 위탁자가 수탁자에게 특정의 재산(영업이나 저작재산권의 일부를 포함한다)을 이전하거나 담보권의 설정 또는 그 밖의 처분을 하고 수탁자로 하여금 일정한 자(이하 "수익자"라 한다)의 이익 또는 특정의 목적을 위하여 그 재산의 관리, 처분, 운용, 개발, 그 밖에 신탁 목적의 달성을 위하여 필요한 행위를 하게 하는 법률관계를 말한다.</w:t>
      </w:r>
    </w:p>
    <w:p>
      <w:pPr>
        <w:ind w:left="320"/>
      </w:pPr>
      <w:r>
        <w:rPr>
          <w:b/>
          <w:i w:val="0"/>
          <w:sz w:val="20"/>
        </w:rPr>
        <w:t xml:space="preserve">· 해설: </w:t>
      </w:r>
      <w:r>
        <w:rPr>
          <w:b w:val="0"/>
          <w:i w:val="0"/>
          <w:sz w:val="20"/>
        </w:rPr>
        <w:t>신탁은 위탁자가 수탁자에게 재산을 이전하거나 처분하여 수탁자로 하여금 수익자의 이익을 위해 재산을 관리하게 하는 법률관계입니다. 이 정의에 따라 수탁자는 신탁재산의 관리와 처분 권한을 가지며, 수탁자 변경 시에도 신탁재산과 관련된 권리·의무는 신탁관계 내에서 계속됩니다.</w:t>
      </w:r>
    </w:p>
    <w:p>
      <w:r>
        <w:rPr>
          <w:b/>
          <w:i w:val="0"/>
          <w:color w:val="1F3864"/>
          <w:sz w:val="22"/>
        </w:rPr>
        <w:t>▸ 신탁법 제59조(유언대용신탁)</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제59조(유언대용신탁)</w:t>
        <w:br/>
        <w:t>① 다음 각 호의 어느 하나에 해당하는 신탁의 경우에는 위탁자가 수익자를 변경할 권리를 갖는다. 다만, 신탁행위로 달리 정한 경우에는 그에 따른다.</w:t>
        <w:br/>
        <w:t>1.  수익자가 될 자로 지정된 자가 위탁자의 사망 시에 수익권을 취득하는 신탁</w:t>
        <w:br/>
        <w:t>2.  수익자가 위탁자의 사망 이후에 신탁재산에 기한 급부를 받는 신탁</w:t>
        <w:br/>
        <w:t>② 제1항제2호의 수익자는 위탁자가 사망할 때까지 수익자로서의 권리를 행사하지 못한다. 다만, 신탁행위로 달리 정한 경우에는 그에 따른다.</w:t>
      </w:r>
    </w:p>
    <w:p>
      <w:pPr>
        <w:ind w:left="320"/>
      </w:pPr>
      <w:r>
        <w:rPr>
          <w:b/>
          <w:i w:val="0"/>
          <w:sz w:val="20"/>
        </w:rPr>
        <w:t xml:space="preserve">· 해설: </w:t>
      </w:r>
      <w:r>
        <w:rPr>
          <w:b w:val="0"/>
          <w:i w:val="0"/>
          <w:sz w:val="20"/>
        </w:rPr>
        <w:t>위탁자는 특정 요건 하에 수익자를 변경할 권리를 가지며, 이는 신탁행위로 달리 정한 경우를 제외하고 적용됩니다. 본 사안에서는 수익자 변경이 아닌 수탁자 변경이므로 이 조항은 직접적인 적용 대상이 아니나, 신탁관계의 유연성을 보여줍니다.</w:t>
      </w:r>
    </w:p>
    <w:p>
      <w:pPr>
        <w:pStyle w:val="Heading1"/>
      </w:pPr>
      <w:r>
        <w:t>【결론】</w:t>
      </w:r>
    </w:p>
    <w:p>
      <w:r>
        <w:t>병이 정에게 신탁재산 인도를 요구할 수 있으나, 을이 관리 중 발생한 신탁채권이 우선 변제되어야 하므로 병의 청구는 신탁채권 변제 후 잔여 재산 범위 내에서만 가능합니다. 정은 수탁자로서 을이 부담하던 신탁채무를 포괄적으로 승계하며, 이는 신탁재산의 독립성과 신탁채권 우선 원칙에 따라 자연스럽게 발생합니다. 실무에서는 신탁재산의 현황과 신탁채권 규모를 정확히 파악한 후 수익자에게 잔여 재산을 인도해야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