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자신이 소유한 농지를 을에게 매도하고, 을은 그 농지에 대해 농어촌정비사업을 시행하기로 하였습니다. 을은 정비사업을 통해 일부 토지의 경계를 변경하고자 하였고, 이 과정에서 토지의 이동이 발생하게 되었습니다. 사업이 완료된 후 을은 그 지역의 기존 지정이 해제될 수 있는지를 궁금해 하였습니다.</w:t>
        <w:br/>
        <w:br/>
        <w:t>[질문] 을의 농어촌정비사업 시행으로 토지의 이동이 있는 경우 을은 누구에게 신고하여야 하며, 이러한 사업 시행이 완료된 경우 그 지역의 지정은 해제되는가?</w:t>
        <w:br/>
        <w:br/>
        <w:t>위 상황에 적용되는 대한민국 법조문을 '법령명 제N조' 형식으로 구체적으로 인용하여 근거와 함께 답하세요.</w:t>
      </w:r>
    </w:p>
    <w:p>
      <w:pPr>
        <w:pStyle w:val="Heading1"/>
      </w:pPr>
      <w:r>
        <w:t>【답변 요지】</w:t>
      </w:r>
    </w:p>
    <w:p>
      <w:r>
        <w:t>농어촌정비사업 시행으로 토지 이동이 발생한 경우 사업 시행자는 시장 또는 군수에게 신고해야 합니다. 사업이 완료된 날에는 해당 지역이나 지구의 지정이 해제된 것으로 법적으로 봅니다. 따라서 을은 사업 완료 시점에 해당 지역의 지정이 자동으로 해제됨을 알 수 있습니다.</w:t>
      </w:r>
    </w:p>
    <w:p>
      <w:pPr>
        <w:pStyle w:val="Heading1"/>
      </w:pPr>
      <w:r>
        <w:t>【관련 법령 및 해설】</w:t>
      </w:r>
    </w:p>
    <w:p>
      <w:r>
        <w:rPr>
          <w:b/>
          <w:i w:val="0"/>
          <w:color w:val="1F3864"/>
          <w:sz w:val="22"/>
        </w:rPr>
        <w:t>▸ 농어촌정비법 제121조(토지 이동의 신청 특례)</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제121조(토지 이동의 신청 특례)</w:t>
        <w:br/>
        <w:t xml:space="preserve">① 환지 처분에 뒤따라 생기는 토지 이동(異動) 등에 관하여는 「공간정보의 구축 및 관리 등에 관한 법률」 제78조부터 제81조까지의 규정을 적용하지 아니한다. 다만, 농어촌정비사업의 시행자는 환지 처분이 뒤따르는 농어촌정비사업에 관한 공사를 시행하는 경우에는 그 공사 준공 후 지체 없이 확정측량을 하고 분할 절차를 밟아야 하며, 토지분할에 관하여는 「공간정보의 구축 및 관리 등에 관한 법률」 제26조를 적용한다.  </w:t>
        <w:br/>
        <w:t>② 농어촌정비사업의 시행으로 토지의 이동이 있는 때에는 그 정비사업의 시행자가 시장ㆍ군수에게 신고하여야 한다.</w:t>
      </w:r>
    </w:p>
    <w:p>
      <w:pPr>
        <w:ind w:left="320"/>
      </w:pPr>
      <w:r>
        <w:rPr>
          <w:b/>
          <w:i w:val="0"/>
          <w:sz w:val="20"/>
        </w:rPr>
        <w:t xml:space="preserve">· 해설: </w:t>
      </w:r>
      <w:r>
        <w:rPr>
          <w:b w:val="0"/>
          <w:i w:val="0"/>
          <w:sz w:val="20"/>
        </w:rPr>
        <w:t>농어촌정비사업 시행으로 토지 이동이 있을 때 시행자는 시장이나 군수에게 신고해야 합니다. 이 조항은 토지 경계 변경 등 물리적 이동 발생 시 행정관청에 사실을 알리는 의무를 규정합니다.</w:t>
      </w:r>
    </w:p>
    <w:p>
      <w:r>
        <w:rPr>
          <w:b/>
          <w:i w:val="0"/>
          <w:color w:val="1F3864"/>
          <w:sz w:val="22"/>
        </w:rPr>
        <w:t>▸ 농어촌정비법 제117조(지정 해제)</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제117조(지정 해제)</w:t>
        <w:br/>
        <w:t>① 지역ㆍ지구등은 다음 각 호의 어느 하나에 해당하는 날의 다음 날에 해제된 것으로 본다.</w:t>
        <w:br/>
        <w:t>1.  제101조에 따른 마을정비구역이 지정ㆍ고시된 날부터 1년이 되는 날까지 제59조에 따른 생활환경정비사업 시행계획 승인을 신청하지 아니하는 경우에는 1년이 되는 날</w:t>
        <w:br/>
        <w:t>2.  제82조에 따른 농어촌 관광휴양단지와 제94조에 따른 한계농지등 정비지구의 고시가 있는 날부터 2년이 되는 날까지 사업 시행을 하지 아니하는 경우에는 2년이 되는 날</w:t>
        <w:br/>
        <w:t>3.  지역ㆍ지구등에서의 해당 사업이 완료된 날</w:t>
        <w:br/>
        <w:t>② 제1항제1호에 따라 마을정비구역의 지정이 해제된 경우로서 제106조제1항 각 호에 따른 지정ㆍ결정ㆍ확정 등이 있으면 해당 마을정비구역 지정 전의 상태로 환원 또는 폐지된 것으로 본다.</w:t>
        <w:br/>
        <w:t>③ 지역ㆍ지구등의 지정권자는 제1항에 따라 지역ㆍ지구등의 지정이 해제되면 대통령령으로 정하는 바에 따라 이를 고시하고 관계 행정기관의 장에게 통보하여야 하며, 시장ㆍ군수ㆍ구청장은 관계 서류를 일반인에게 열람하도록 하여야 한다. 이 경우 해제에 따른 지형도면 고시, 주민 의견 청취 등에 관하여는 「토지이용규제 기본법」 제8조에 따른다.</w:t>
      </w:r>
    </w:p>
    <w:p>
      <w:pPr>
        <w:ind w:left="320"/>
      </w:pPr>
      <w:r>
        <w:rPr>
          <w:b/>
          <w:i w:val="0"/>
          <w:sz w:val="20"/>
        </w:rPr>
        <w:t xml:space="preserve">· 해설: </w:t>
      </w:r>
      <w:r>
        <w:rPr>
          <w:b w:val="0"/>
          <w:i w:val="0"/>
          <w:sz w:val="20"/>
        </w:rPr>
        <w:t>지역이나 지구 등의 지정은 해당 사업이 완료된 날에 해제된 것으로 봅니다. 이 규정은 사업이 끝난 시점을 기준으로 지정 효력이 소멸함을 명확히 하여 행정 절차를 종결시킵니다.</w:t>
      </w:r>
    </w:p>
    <w:p>
      <w:pPr>
        <w:pStyle w:val="Heading1"/>
      </w:pPr>
      <w:r>
        <w:t>【결론】</w:t>
      </w:r>
    </w:p>
    <w:p>
      <w:r>
        <w:t>을은 농어촌정비사업으로 인한 토지 이동 사실을 시장 또는 군수에게 신고해야 할 의무가 있습니다. 사업이 완료되면 해당 지역의 지정은 법적으로 해제되므로 별도의 해제 신청 절차는 필요하지 않습니다. 을은 사업 완료일을 기준으로 지정 해제 효과를 인정받을 수 있습니다.</w:t>
      </w:r>
    </w:p>
    <w:p>
      <w:pPr>
        <w:jc w:val="center"/>
      </w:pPr>
      <w:r>
        <w:rPr>
          <w:b w:val="0"/>
          <w:i w:val="0"/>
          <w:color w:val="666666"/>
        </w:rPr>
        <w:t>──────────────────────────────</w:t>
      </w:r>
    </w:p>
    <w:p>
      <w:r>
        <w:rPr>
          <w:b/>
          <w:i w:val="0"/>
          <w:sz w:val="20"/>
        </w:rPr>
        <w:t>인용 검증: 2/2 법제처 확인  |  내용 일치: 2/2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