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재개발 사업을 추진하기 위해 신탁업자인 을을 사업시행자로 지정했습니다. 해당 정비사업의 진행을 위해 토지등소유자 전체회의가 열렸습니다. 이 회의에서는 사업의 여러 중요한 결정 사항에 대해 토지등소유자들의 의결을 받아야 했습니다. 한편, 정비구역의 지정을 변경해야 할 필요가 생겼고, 이를 위한 절차를 진행하는 중입니다.</w:t>
        <w:br/>
        <w:br/>
        <w:t>[질문] 갑이 재개발 사업을 위해 신탁업자 을을 사업시행자로 지정한 경우, 토지등소유자 전체회의의 의결을 거쳐야 하는 사항과 정비구역의 지정 또는 변경 시 필요한 절차에는 어떤 것들이 있는가?</w:t>
        <w:br/>
        <w:br/>
        <w:t>위 상황에 적용되는 대한민국 법조문을 '법령명 제N조' 형식으로 구체적으로 인용하여 근거와 함께 답하세요.</w:t>
      </w:r>
    </w:p>
    <w:p>
      <w:pPr>
        <w:pStyle w:val="Heading1"/>
      </w:pPr>
      <w:r>
        <w:t>【답변 요지】</w:t>
      </w:r>
    </w:p>
    <w:p>
      <w:r>
        <w:t>신탁업자가 사업시행자로 지정된 재개발 사업에서는 시행규정 확정, 시공자 선정, 자금 차입 등 주요 사항에 대해 토지등소유자 전체회의의 의결이 필수적입니다. 정비구역 지정권자가 심의를 통합하는 경우 사업시행자는 하나의 총회인 토지등소유자 전체회의에서 사업계획 관련 사항을 의결해야 합니다. 다만 정비구역의 지정 또는 변경 자체는 토지등소유자 전체회의의 의결 사항이 아니라 지정권자의 행정 절차에 따릅니다.</w:t>
      </w:r>
    </w:p>
    <w:p>
      <w:pPr>
        <w:pStyle w:val="Heading1"/>
      </w:pPr>
      <w:r>
        <w:t>【관련 법령 및 해설】</w:t>
      </w:r>
    </w:p>
    <w:p>
      <w:r>
        <w:rPr>
          <w:b/>
          <w:i w:val="0"/>
          <w:color w:val="1F3864"/>
          <w:sz w:val="22"/>
        </w:rPr>
        <w:t>▸ 도시 및 주거환경정비법 제48조(토지등소유자 전체회의)</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제48조(토지등소유자 전체회의)</w:t>
        <w:br/>
        <w:t>① 제27조제1항제3호에 따라 사업시행자로 지정된 신탁업자는 다음 각 호의 사항에 관하여 해당 정비사업의 토지등소유자(재건축사업의 경우에는 신탁업자를 사업시행자로 지정하는 것에 동의한 토지등소유자를 말한다. 이하 이 조에서 같다) 전원으로 구성되는 회의(이하 "토지등소유자 전체회의"라 한다)의 의결을 거쳐야 한다.</w:t>
        <w:br/>
        <w:t>1.  시행규정의 확정 및 변경</w:t>
        <w:br/>
        <w:t>2.  정비사업비의 사용 및 변경</w:t>
        <w:br/>
        <w:t>3.  정비사업전문관리업자와의 계약 등 토지등소유자의 부담이 될 계약</w:t>
        <w:br/>
        <w:t>4.  시공자의 선정 및 변경</w:t>
        <w:br/>
        <w:t>5.  정비사업비의 토지등소유자별 분담내역</w:t>
        <w:br/>
        <w:t>6.  자금의 차입과 그 방법ㆍ이자율 및 상환방법</w:t>
        <w:br/>
        <w:t>7.  제52조에 따른 사업시행계획서의 작성 및 변경(제50조제1항 본문에 따른 정비사업의 중지 또는 폐지에 관한 사항을 포함하며, 같은 항 단서에 따른 경미한 변경은 제외한다)</w:t>
        <w:br/>
        <w:t>8.  제74조에 따른 관리처분계획의 수립 및 변경(제74조제1항 각 호 외의 부분 단서에 따른 경미한 변경은 제외한다)</w:t>
        <w:br/>
        <w:t>9.  제89조에 따른 청산금의 징수ㆍ지급(분할징수ㆍ분할지급을 포함한다)과 조합 해산 시의 회계보고</w:t>
        <w:br/>
        <w:t>10.  제93조에 따른 비용의 금액 및 징수방법</w:t>
        <w:br/>
        <w:t>11.  그 밖에 토지등소유자에게 부담이 되는 것으로 시행규정으로 정하는 사항</w:t>
        <w:br/>
        <w:t>② 토지등소유자 전체회의는 사업시행자가 직권으로 소집하거나 토지등소유자 5분의 1 이상의 요구로 사업시행자가 소집한다.</w:t>
        <w:br/>
        <w:t>③ 토지등소유자 전체회의의 소집 절차ㆍ시기 및 의결방법 등에 관하여는 제44조제5항, 제44조의2 및 제45조제3항부터 제11항까지를 준용한다. 이 경우 "총회"는 "토지등소유자 전체회의"로, "조합"은 "사업시행자"로, "정관"은 "시행규정"으로, "조합원"은 "토지등소유자"로 본다.</w:t>
      </w:r>
    </w:p>
    <w:p>
      <w:pPr>
        <w:ind w:left="320"/>
      </w:pPr>
      <w:r>
        <w:rPr>
          <w:b/>
          <w:i w:val="0"/>
          <w:sz w:val="20"/>
        </w:rPr>
        <w:t xml:space="preserve">· 해설: </w:t>
      </w:r>
      <w:r>
        <w:rPr>
          <w:b w:val="0"/>
          <w:i w:val="0"/>
          <w:sz w:val="20"/>
        </w:rPr>
        <w:t>신탁업자가 사업시행자로 지정된 경우 시행규정 확정, 시공자 선정, 자금 차입 등 7 가지 주요 사항을 토지등소유자 전체회의의 의결을 거쳐야 합니다. 이 조항은 재건축 사업의 경우 신탁업자 지정을 동의한 토지등소유자를 전원으로 하는 회의를 규정하고 있습니다. 사업시행자가 독자적으로 결정할 수 없는 사항들을 명확히 하여 토지등소유자의 권리를 보호하는 역할을 합니다.</w:t>
      </w:r>
    </w:p>
    <w:p>
      <w:r>
        <w:rPr>
          <w:b/>
          <w:i w:val="0"/>
          <w:color w:val="1F3864"/>
          <w:sz w:val="22"/>
        </w:rPr>
        <w:t>▸ 도시 및 주거환경정비법 제50조(사업시행계획인가)</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제50조(사업시행계획인가)</w:t>
        <w:br/>
        <w:t>① 사업시행자(제25조제1항 및 제2항에 따른 공동시행의 경우를 포함하되, 사업시행자가 시장ㆍ군수등인 경우는 제외한다)는 정비사업을 시행하려는 경우에는 제52조에 따른 사업시행계획서(이하 "사업시행계획서"라 한다)에 정관등과 그 밖에 국토교통부령으로 정하는 서류를 첨부하여 시장ㆍ군수등에게 제출하고 사업시행계획인가를 받아야 하고, 인가받은 사항을 변경하거나 정비사업을 중지 또는 폐지하려는 경우에도 또한 같다. 다만, 대통령령으로 정하는 경미한 사항을 변경하려는 때에는 시장ㆍ군수등에게 신고하여야 한다.</w:t>
        <w:br/>
        <w:t xml:space="preserve">② 시장ㆍ군수등은 제1항 단서에 따른 신고를 받은 날부터 20일 이내에 신고수리 여부를 신고인에게 통지하여야 한다.  </w:t>
        <w:br/>
        <w:t xml:space="preserve">③ 시장ㆍ군수등이 제2항에서 정한 기간 내에 신고수리 여부 또는 민원 처리 관련 법령에 따른 처리기간의 연장을 신고인에게 통지하지 아니하면 그 기간(민원 처리 관련 법령에 따라 처리기간이 연장 또는 재연장된 경우에는 해당 처리기간을 말한다)이 끝난 날의 다음 날에 신고를 수리한 것으로 본다.  </w:t>
        <w:br/>
        <w:t xml:space="preserve">④ 시장ㆍ군수등은 특별한 사유가 없으면 제1항에 따라 사업시행계획서의 제출이 있은 날부터 60일 이내에 인가 여부를 결정하여 사업시행자에게 통보하여야 한다.  </w:t>
        <w:br/>
        <w:t xml:space="preserve">⑤ 사업시행자(시장ㆍ군수등 또는 토지주택공사등은 제외한다)는 사업시행계획인가를 신청하기 전에 미리 총회의 의결을 거쳐야 하며, 인가받은 사항을 변경하거나 정비사업을 중지 또는 폐지하려는 경우에도 또한 같다. 다만, 제1항 단서에 따른 경미한 사항의 변경은 총회의 의결을 필요로 하지 아니한다.  </w:t>
        <w:br/>
        <w:t xml:space="preserve">⑥ 토지등소유자가 제25조제1항제2호에 따라 재개발사업을 시행하려는 경우에는 사업시행계획인가를 신청하기 전에 사업시행계획서에 대하여 토지등소유자의 4분의 3 이상 및 토지면적의 2분의 1 이상의 토지소유자의 동의를 받아야 한다. 다만, 인가받은 사항을 변경하려는 경우에는 규약으로 정하는 바에 따라 토지등소유자의 과반수의 동의를 받아야 하며, 제1항 단서에 따른 경미한 사항의 변경인 경우에는 토지등소유자의 동의를 필요로 하지 아니한다.  </w:t>
        <w:br/>
        <w:t xml:space="preserve">⑦ 지정개발자가 정비사업을 시행하려는 경우에는 사업시행계획인가를 신청하기 전에 토지등소유자의 과반수의 동의 및 토지면적의 2분의 1 이상의 토지소유자의 동의를 받아야 한다. 다만, 제1항 단서에 따른 경미한 사항의 변경인 경우에는 토지등소유자의 동의를 필요로 하지 아니한다.  </w:t>
        <w:br/>
        <w:t xml:space="preserve">⑧ 제26조제1항제1호 및 제27조제1항제1호에 따른 사업시행자는 제7항에도 불구하고 토지등소유자의 동의를 필요로 하지 아니한다.  </w:t>
        <w:br/>
        <w:t>⑨ 시장ㆍ군수등은 제1항에 따른 사업시행계획인가(시장ㆍ군수등이 사업시행계획서를 작성한 경우를 포함한다)를 하거나 정비사업을 변경ㆍ중지 또는 폐지하는 경우에는 국토교통부령으로 정하는 방법 및 절차에 따라 그 내용을 해당 지방자치단체의 공보에 고시하여야 한다. 다만, 제1항 단서에 따른 경미한 사항을 변경하려는 경우에는 그러하지 아니하다.</w:t>
      </w:r>
    </w:p>
    <w:p>
      <w:pPr>
        <w:ind w:left="320"/>
      </w:pPr>
      <w:r>
        <w:rPr>
          <w:b/>
          <w:i w:val="0"/>
          <w:sz w:val="20"/>
        </w:rPr>
        <w:t xml:space="preserve">· 해설: </w:t>
      </w:r>
      <w:r>
        <w:rPr>
          <w:b w:val="0"/>
          <w:i w:val="0"/>
          <w:sz w:val="20"/>
        </w:rPr>
        <w:t>정비구역 지정권자가 심의를 통합할 경우 사업시행자는 하나의 총회인 토지등소유자 전체회의에서 사업계획 관련 사항을 의결해야 합니다. 이 조항은 통합 심의 시 절차의 간소화와 효율성을 위해 의결 주체를 단일화하고 있습니다.</w:t>
      </w:r>
    </w:p>
    <w:p>
      <w:r>
        <w:rPr>
          <w:b/>
          <w:i w:val="0"/>
          <w:color w:val="1F3864"/>
          <w:sz w:val="22"/>
        </w:rPr>
        <w:t>▸ (미지정) 제48조</w:t>
      </w:r>
      <w:r>
        <w:t xml:space="preserve">   </w:t>
      </w:r>
      <w:r>
        <w:rPr>
          <w:b/>
          <w:i w:val="0"/>
          <w:color w:val="666666"/>
          <w:sz w:val="18"/>
        </w:rPr>
        <w:t>[⚠ 확인필요]</w:t>
      </w:r>
      <w:r>
        <w:t xml:space="preserve"> </w:t>
      </w:r>
      <w:r>
        <w:rPr>
          <w:b/>
          <w:i w:val="0"/>
          <w:color w:val="666666"/>
          <w:sz w:val="18"/>
        </w:rPr>
        <w:t>[—]</w:t>
      </w:r>
    </w:p>
    <w:p>
      <w:pPr>
        <w:ind w:left="320"/>
      </w:pPr>
      <w:r>
        <w:rPr>
          <w:b/>
          <w:i w:val="0"/>
          <w:sz w:val="18"/>
        </w:rPr>
        <w:t xml:space="preserve">· 조문 원문: </w:t>
      </w:r>
      <w:r>
        <w:rPr>
          <w:b w:val="0"/>
          <w:i w:val="0"/>
          <w:color w:val="333333"/>
          <w:sz w:val="18"/>
        </w:rPr>
        <w:t>(법제처 확인 불가 — 법령명·항 재확인 필요)</w:t>
      </w:r>
    </w:p>
    <w:p>
      <w:pPr>
        <w:ind w:left="320"/>
      </w:pPr>
      <w:r>
        <w:rPr>
          <w:b/>
          <w:i w:val="0"/>
          <w:sz w:val="20"/>
        </w:rPr>
        <w:t xml:space="preserve">· 해설: </w:t>
      </w:r>
      <w:r>
        <w:rPr>
          <w:b w:val="0"/>
          <w:i w:val="0"/>
          <w:sz w:val="20"/>
        </w:rPr>
        <w:t>신탁업자가 사업시행자로 지정된 경우 시행규정 확정, 시공자 선정, 자금 차입 등 7 가지 주요 사항을 토지등소유자 전체회의의 의결을 거쳐야 합니다. 이 조항은 재건축 사업의 경우 신탁업자 지정을 동의한 토지등소유자를 전원으로 하는 회의를 규정하고 있습니다. 사업시행자가 독자적으로 결정할 수 없는 사항들을 명확히 하여 토지등소유자의 권리를 보호하는 역할을 합니다.</w:t>
      </w:r>
    </w:p>
    <w:p>
      <w:r>
        <w:rPr>
          <w:b/>
          <w:i w:val="0"/>
          <w:color w:val="1F3864"/>
          <w:sz w:val="22"/>
        </w:rPr>
        <w:t>▸ (미지정) 제50조</w:t>
      </w:r>
      <w:r>
        <w:t xml:space="preserve">   </w:t>
      </w:r>
      <w:r>
        <w:rPr>
          <w:b/>
          <w:i w:val="0"/>
          <w:color w:val="666666"/>
          <w:sz w:val="18"/>
        </w:rPr>
        <w:t>[⚠ 확인필요]</w:t>
      </w:r>
      <w:r>
        <w:t xml:space="preserve"> </w:t>
      </w:r>
      <w:r>
        <w:rPr>
          <w:b/>
          <w:i w:val="0"/>
          <w:color w:val="666666"/>
          <w:sz w:val="18"/>
        </w:rPr>
        <w:t>[—]</w:t>
      </w:r>
    </w:p>
    <w:p>
      <w:pPr>
        <w:ind w:left="320"/>
      </w:pPr>
      <w:r>
        <w:rPr>
          <w:b/>
          <w:i w:val="0"/>
          <w:sz w:val="18"/>
        </w:rPr>
        <w:t xml:space="preserve">· 조문 원문: </w:t>
      </w:r>
      <w:r>
        <w:rPr>
          <w:b w:val="0"/>
          <w:i w:val="0"/>
          <w:color w:val="333333"/>
          <w:sz w:val="18"/>
        </w:rPr>
        <w:t>(법제처 확인 불가 — 법령명·항 재확인 필요)</w:t>
      </w:r>
    </w:p>
    <w:p>
      <w:pPr>
        <w:ind w:left="320"/>
      </w:pPr>
      <w:r>
        <w:rPr>
          <w:b/>
          <w:i w:val="0"/>
          <w:sz w:val="20"/>
        </w:rPr>
        <w:t xml:space="preserve">· 해설: </w:t>
      </w:r>
      <w:r>
        <w:rPr>
          <w:b w:val="0"/>
          <w:i w:val="0"/>
          <w:sz w:val="20"/>
        </w:rPr>
        <w:t>정비구역 지정권자가 심의를 통합할 경우 사업시행자는 하나의 총회인 토지등소유자 전체회의에서 사업계획 관련 사항을 의결해야 합니다. 이 조항은 통합 심의 시 절차의 간소화와 효율성을 위해 의결 주체를 단일화하고 있습니다.</w:t>
      </w:r>
    </w:p>
    <w:p>
      <w:pPr>
        <w:pStyle w:val="Heading1"/>
      </w:pPr>
      <w:r>
        <w:t>【결론】</w:t>
      </w:r>
    </w:p>
    <w:p>
      <w:r>
        <w:t>갑이 신탁업자 을을 사업시행자로 지정한 경우 시행규정 변경이나 시공자 선정 등 제48조所列 사항들은 반드시 토지등소유자 전체회의 의결을 받아야 유효합니다. 정비구역 지정 변경은 행정 절차이므로 토지등소유자 전체회의 의결 대상이 아니지만, 통합 심의 시 사업계획 변경 등 관련 사항은 제50조에 따라 같은 회의에서 의결해야 합니다. 실무에서는 의결 대상 사항과 행정 절차를 명확히 구분하여 회의 소집 및 의결 절차를 진행해야 합니다.</w:t>
      </w:r>
    </w:p>
    <w:p>
      <w:pPr>
        <w:jc w:val="center"/>
      </w:pPr>
      <w:r>
        <w:rPr>
          <w:b w:val="0"/>
          <w:i w:val="0"/>
          <w:color w:val="666666"/>
        </w:rPr>
        <w:t>──────────────────────────────</w:t>
      </w:r>
    </w:p>
    <w:p>
      <w:r>
        <w:rPr>
          <w:b/>
          <w:i w:val="0"/>
          <w:sz w:val="20"/>
        </w:rPr>
        <w:t>인용 검증: 2/4 법제처 확인  |  내용 일치: 2/2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