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480"/>
        <w:jc w:val="center"/>
      </w:pPr>
      <w:r>
        <w:rPr>
          <w:rFonts w:ascii="微软雅黑" w:hAnsi="微软雅黑"/>
          <w:b/>
          <w:i w:val="0"/>
          <w:color w:val="0F4C81"/>
          <w:sz w:val="32"/>
          <w:rFonts w:eastAsia="微软雅黑" w:ascii="微软雅黑" w:hAnsi="微软雅黑"/>
        </w:rPr>
        <w:t>中国国际大学生创新大赛（产业赛道）</w:t>
        <w:br/>
        <w:t>参赛项目计划书与解决方案</w:t>
      </w:r>
    </w:p>
    <w:p>
      <w:pPr>
        <w:spacing w:after="280"/>
        <w:jc w:val="center"/>
      </w:pPr>
      <w:r>
        <w:rPr>
          <w:rFonts w:ascii="微软雅黑" w:hAnsi="微软雅黑"/>
          <w:b/>
          <w:i w:val="0"/>
          <w:color w:val="0A2D55"/>
          <w:sz w:val="44"/>
          <w:rFonts w:eastAsia="微软雅黑" w:ascii="微软雅黑" w:hAnsi="微软雅黑"/>
        </w:rPr>
        <w:t>SeekClaw</w:t>
        <w:br/>
        <w:t>现代化高性能 AI Agent 运行时</w:t>
        <w:br/>
        <w:t>与企业级智能编码软硬件一体化平台</w:t>
      </w:r>
    </w:p>
    <w:p>
      <w:pPr>
        <w:spacing w:after="1200"/>
        <w:jc w:val="center"/>
      </w:pPr>
      <w:r>
        <w:rPr>
          <w:rFonts w:ascii="微软雅黑" w:hAnsi="微软雅黑"/>
          <w:b w:val="0"/>
          <w:i/>
          <w:color w:val="5A6978"/>
          <w:sz w:val="24"/>
          <w:rFonts w:eastAsia="微软雅黑" w:ascii="微软雅黑" w:hAnsi="微软雅黑"/>
        </w:rPr>
        <w:t>基于清洁架构、开放生态（MCP）与软硬件协同的下一代企业智能研发底座</w:t>
      </w:r>
    </w:p>
    <w:tbl>
      <w:tblPr>
        <w:tblW w:type="auto" w:w="0"/>
        <w:jc w:val="center"/>
        <w:tblLayout w:type="fixed"/>
        <w:tblLook w:firstColumn="1" w:firstRow="1" w:lastColumn="0" w:lastRow="0" w:noHBand="0" w:noVBand="1" w:val="04A0"/>
      </w:tblPr>
      <w:tblGrid>
        <w:gridCol w:w="4680"/>
        <w:gridCol w:w="4680"/>
      </w:tblGrid>
      <w:tr>
        <w:tc>
          <w:tcPr>
            <w:tcW w:type="dxa" w:w="2592"/>
          </w:tcPr>
          <w:p>
            <w:pPr>
              <w:spacing w:after="60"/>
              <w:jc w:val="right"/>
            </w:pPr>
            <w:r>
              <w:rPr>
                <w:rFonts w:ascii="微软雅黑" w:hAnsi="微软雅黑"/>
                <w:b/>
                <w:i w:val="0"/>
                <w:color w:val="464646"/>
                <w:sz w:val="20"/>
                <w:rFonts w:eastAsia="微软雅黑" w:ascii="微软雅黑" w:hAnsi="微软雅黑"/>
              </w:rPr>
              <w:t>申报单位：</w:t>
            </w:r>
          </w:p>
        </w:tc>
        <w:tc>
          <w:tcPr>
            <w:tcW w:type="dxa" w:w="6768"/>
          </w:tcPr>
          <w:p>
            <w:pPr>
              <w:spacing w:after="60"/>
            </w:pPr>
            <w:r>
              <w:rPr>
                <w:rFonts w:ascii="微软雅黑" w:hAnsi="微软雅黑"/>
                <w:b w:val="0"/>
                <w:i w:val="0"/>
                <w:color w:val="1E1E1E"/>
                <w:sz w:val="20"/>
                <w:rFonts w:eastAsia="微软雅黑" w:ascii="微软雅黑" w:hAnsi="微软雅黑"/>
              </w:rPr>
              <w:t>西安花濑科技有限责任公司（简称：花濑 HoiLai）</w:t>
            </w:r>
          </w:p>
        </w:tc>
      </w:tr>
      <w:tr>
        <w:tc>
          <w:tcPr>
            <w:tcW w:type="dxa" w:w="2592"/>
          </w:tcPr>
          <w:p>
            <w:pPr>
              <w:spacing w:after="60"/>
              <w:jc w:val="right"/>
            </w:pPr>
            <w:r>
              <w:rPr>
                <w:rFonts w:ascii="微软雅黑" w:hAnsi="微软雅黑"/>
                <w:b/>
                <w:i w:val="0"/>
                <w:color w:val="464646"/>
                <w:sz w:val="20"/>
                <w:rFonts w:eastAsia="微软雅黑" w:ascii="微软雅黑" w:hAnsi="微软雅黑"/>
              </w:rPr>
              <w:t>项目负责人 / 法人：</w:t>
            </w:r>
          </w:p>
        </w:tc>
        <w:tc>
          <w:tcPr>
            <w:tcW w:type="dxa" w:w="6768"/>
          </w:tcPr>
          <w:p>
            <w:pPr>
              <w:spacing w:after="60"/>
            </w:pPr>
            <w:r>
              <w:rPr>
                <w:rFonts w:ascii="微软雅黑" w:hAnsi="微软雅黑"/>
                <w:b w:val="0"/>
                <w:i w:val="0"/>
                <w:color w:val="1E1E1E"/>
                <w:sz w:val="20"/>
                <w:rFonts w:eastAsia="微软雅黑" w:ascii="微软雅黑" w:hAnsi="微软雅黑"/>
              </w:rPr>
              <w:t>张子健（创始人）</w:t>
            </w:r>
          </w:p>
        </w:tc>
      </w:tr>
      <w:tr>
        <w:tc>
          <w:tcPr>
            <w:tcW w:type="dxa" w:w="2592"/>
          </w:tcPr>
          <w:p>
            <w:pPr>
              <w:spacing w:after="60"/>
              <w:jc w:val="right"/>
            </w:pPr>
            <w:r>
              <w:rPr>
                <w:rFonts w:ascii="微软雅黑" w:hAnsi="微软雅黑"/>
                <w:b/>
                <w:i w:val="0"/>
                <w:color w:val="464646"/>
                <w:sz w:val="20"/>
                <w:rFonts w:eastAsia="微软雅黑" w:ascii="微软雅黑" w:hAnsi="微软雅黑"/>
              </w:rPr>
              <w:t>所属赛道 / 领域：</w:t>
            </w:r>
          </w:p>
        </w:tc>
        <w:tc>
          <w:tcPr>
            <w:tcW w:type="dxa" w:w="6768"/>
          </w:tcPr>
          <w:p>
            <w:pPr>
              <w:spacing w:after="60"/>
            </w:pPr>
            <w:r>
              <w:rPr>
                <w:rFonts w:ascii="微软雅黑" w:hAnsi="微软雅黑"/>
                <w:b w:val="0"/>
                <w:i w:val="0"/>
                <w:color w:val="1E1E1E"/>
                <w:sz w:val="20"/>
                <w:rFonts w:eastAsia="微软雅黑" w:ascii="微软雅黑" w:hAnsi="微软雅黑"/>
              </w:rPr>
              <w:t>产业命题赛道 / 信息技术服务业</w:t>
            </w:r>
          </w:p>
        </w:tc>
      </w:tr>
      <w:tr>
        <w:tc>
          <w:tcPr>
            <w:tcW w:type="dxa" w:w="2592"/>
          </w:tcPr>
          <w:p>
            <w:pPr>
              <w:spacing w:after="60"/>
              <w:jc w:val="right"/>
            </w:pPr>
            <w:r>
              <w:rPr>
                <w:rFonts w:ascii="微软雅黑" w:hAnsi="微软雅黑"/>
                <w:b/>
                <w:i w:val="0"/>
                <w:color w:val="464646"/>
                <w:sz w:val="20"/>
                <w:rFonts w:eastAsia="微软雅黑" w:ascii="微软雅黑" w:hAnsi="微软雅黑"/>
              </w:rPr>
              <w:t>项目成熟度阶段：</w:t>
            </w:r>
          </w:p>
        </w:tc>
        <w:tc>
          <w:tcPr>
            <w:tcW w:type="dxa" w:w="6768"/>
          </w:tcPr>
          <w:p>
            <w:pPr>
              <w:spacing w:after="60"/>
            </w:pPr>
            <w:r>
              <w:rPr>
                <w:rFonts w:ascii="微软雅黑" w:hAnsi="微软雅黑"/>
                <w:b w:val="0"/>
                <w:i w:val="0"/>
                <w:color w:val="1E1E1E"/>
                <w:sz w:val="20"/>
                <w:rFonts w:eastAsia="微软雅黑" w:ascii="微软雅黑" w:hAnsi="微软雅黑"/>
              </w:rPr>
              <w:t>中试熟化期（软硬件研发定型、开源宣发推广、企业定制对接）</w:t>
            </w:r>
          </w:p>
        </w:tc>
      </w:tr>
      <w:tr>
        <w:tc>
          <w:tcPr>
            <w:tcW w:type="dxa" w:w="2592"/>
          </w:tcPr>
          <w:p>
            <w:pPr>
              <w:spacing w:after="60"/>
              <w:jc w:val="right"/>
            </w:pPr>
            <w:r>
              <w:rPr>
                <w:rFonts w:ascii="微软雅黑" w:hAnsi="微软雅黑"/>
                <w:b/>
                <w:i w:val="0"/>
                <w:color w:val="464646"/>
                <w:sz w:val="20"/>
                <w:rFonts w:eastAsia="微软雅黑" w:ascii="微软雅黑" w:hAnsi="微软雅黑"/>
              </w:rPr>
              <w:t>核心知识产权：</w:t>
            </w:r>
          </w:p>
        </w:tc>
        <w:tc>
          <w:tcPr>
            <w:tcW w:type="dxa" w:w="6768"/>
          </w:tcPr>
          <w:p>
            <w:pPr>
              <w:spacing w:after="60"/>
            </w:pPr>
            <w:r>
              <w:rPr>
                <w:rFonts w:ascii="微软雅黑" w:hAnsi="微软雅黑"/>
                <w:b w:val="0"/>
                <w:i w:val="0"/>
                <w:color w:val="1E1E1E"/>
                <w:sz w:val="20"/>
                <w:rFonts w:eastAsia="微软雅黑" w:ascii="微软雅黑" w:hAnsi="微软雅黑"/>
              </w:rPr>
              <w:t>国家专利《一种基于3D打印外壳和树莓派的外置式AI桌面操作控制装置》（申请号：2026211483494）</w:t>
            </w:r>
          </w:p>
        </w:tc>
      </w:tr>
      <w:tr>
        <w:tc>
          <w:tcPr>
            <w:tcW w:type="dxa" w:w="2592"/>
          </w:tcPr>
          <w:p>
            <w:pPr>
              <w:spacing w:after="60"/>
              <w:jc w:val="right"/>
            </w:pPr>
            <w:r>
              <w:rPr>
                <w:rFonts w:ascii="微软雅黑" w:hAnsi="微软雅黑"/>
                <w:b/>
                <w:i w:val="0"/>
                <w:color w:val="464646"/>
                <w:sz w:val="20"/>
                <w:rFonts w:eastAsia="微软雅黑" w:ascii="微软雅黑" w:hAnsi="微软雅黑"/>
              </w:rPr>
              <w:t>统一社会信用代码：</w:t>
            </w:r>
          </w:p>
        </w:tc>
        <w:tc>
          <w:tcPr>
            <w:tcW w:type="dxa" w:w="6768"/>
          </w:tcPr>
          <w:p>
            <w:pPr>
              <w:spacing w:after="60"/>
            </w:pPr>
            <w:r>
              <w:rPr>
                <w:rFonts w:ascii="微软雅黑" w:hAnsi="微软雅黑"/>
                <w:b w:val="0"/>
                <w:i w:val="0"/>
                <w:color w:val="1E1E1E"/>
                <w:sz w:val="20"/>
                <w:rFonts w:eastAsia="微软雅黑" w:ascii="微软雅黑" w:hAnsi="微软雅黑"/>
              </w:rPr>
              <w:t>91610104MAK3KJPM6F</w:t>
            </w:r>
          </w:p>
        </w:tc>
      </w:tr>
      <w:tr>
        <w:tc>
          <w:tcPr>
            <w:tcW w:type="dxa" w:w="2592"/>
          </w:tcPr>
          <w:p>
            <w:pPr>
              <w:spacing w:after="60"/>
              <w:jc w:val="right"/>
            </w:pPr>
            <w:r>
              <w:rPr>
                <w:rFonts w:ascii="微软雅黑" w:hAnsi="微软雅黑"/>
                <w:b/>
                <w:i w:val="0"/>
                <w:color w:val="464646"/>
                <w:sz w:val="20"/>
                <w:rFonts w:eastAsia="微软雅黑" w:ascii="微软雅黑" w:hAnsi="微软雅黑"/>
              </w:rPr>
              <w:t>提交日期：</w:t>
            </w:r>
          </w:p>
        </w:tc>
        <w:tc>
          <w:tcPr>
            <w:tcW w:type="dxa" w:w="6768"/>
          </w:tcPr>
          <w:p>
            <w:pPr>
              <w:spacing w:after="60"/>
            </w:pPr>
            <w:r>
              <w:rPr>
                <w:rFonts w:ascii="微软雅黑" w:hAnsi="微软雅黑"/>
                <w:b w:val="0"/>
                <w:i w:val="0"/>
                <w:color w:val="1E1E1E"/>
                <w:sz w:val="20"/>
                <w:rFonts w:eastAsia="微软雅黑" w:ascii="微软雅黑" w:hAnsi="微软雅黑"/>
              </w:rPr>
              <w:t>2026 年 8 月</w:t>
            </w:r>
          </w:p>
        </w:tc>
      </w:tr>
    </w:tbl>
    <w:p>
      <w:r>
        <w:br w:type="page"/>
      </w:r>
    </w:p>
    <w:p>
      <w:pPr>
        <w:keepNext/>
        <w:spacing w:before="320" w:after="160"/>
      </w:pPr>
      <w:r>
        <w:rPr>
          <w:rFonts w:ascii="微软雅黑" w:hAnsi="微软雅黑"/>
          <w:b/>
          <w:i w:val="0"/>
          <w:color w:val="0F4C81"/>
          <w:sz w:val="30"/>
          <w:rFonts w:eastAsia="微软雅黑" w:ascii="微软雅黑" w:hAnsi="微软雅黑"/>
        </w:rPr>
        <w:t>目 录</w:t>
      </w:r>
    </w:p>
    <w:p>
      <w:pPr>
        <w:pStyle w:val="ListBullet"/>
        <w:spacing w:before="20" w:after="60" w:line="300" w:lineRule="auto"/>
      </w:pPr>
      <w:r>
        <w:rPr>
          <w:rFonts w:ascii="微软雅黑" w:hAnsi="微软雅黑"/>
          <w:b w:val="0"/>
          <w:i w:val="0"/>
          <w:color w:val="333333"/>
          <w:sz w:val="20"/>
          <w:rFonts w:eastAsia="微软雅黑" w:ascii="微软雅黑" w:hAnsi="微软雅黑"/>
        </w:rPr>
        <w:t>第一章 执行摘要（Executive Summary）</w:t>
      </w:r>
    </w:p>
    <w:p>
      <w:pPr>
        <w:pStyle w:val="ListBullet"/>
        <w:spacing w:before="20" w:after="60" w:line="300" w:lineRule="auto"/>
      </w:pPr>
      <w:r>
        <w:rPr>
          <w:rFonts w:ascii="微软雅黑" w:hAnsi="微软雅黑"/>
          <w:b w:val="0"/>
          <w:i w:val="0"/>
          <w:color w:val="333333"/>
          <w:sz w:val="20"/>
          <w:rFonts w:eastAsia="微软雅黑" w:ascii="微软雅黑" w:hAnsi="微软雅黑"/>
        </w:rPr>
        <w:t>第二章 行业背景与产业痛点分析（Industry Pain Points）</w:t>
      </w:r>
    </w:p>
    <w:p>
      <w:pPr>
        <w:pStyle w:val="ListBullet"/>
        <w:spacing w:before="20" w:after="60" w:line="300" w:lineRule="auto"/>
      </w:pPr>
      <w:r>
        <w:rPr>
          <w:rFonts w:ascii="微软雅黑" w:hAnsi="微软雅黑"/>
          <w:b w:val="0"/>
          <w:i w:val="0"/>
          <w:color w:val="333333"/>
          <w:sz w:val="20"/>
          <w:rFonts w:eastAsia="微软雅黑" w:ascii="微软雅黑" w:hAnsi="微软雅黑"/>
        </w:rPr>
        <w:t>第三章 SeekClaw 核心产品与技术解决方案（Product &amp; Architecture）</w:t>
      </w:r>
    </w:p>
    <w:p>
      <w:pPr>
        <w:pStyle w:val="ListBullet"/>
        <w:spacing w:before="20" w:after="60" w:line="300" w:lineRule="auto"/>
      </w:pPr>
      <w:r>
        <w:rPr>
          <w:rFonts w:ascii="微软雅黑" w:hAnsi="微软雅黑"/>
          <w:b w:val="0"/>
          <w:i w:val="0"/>
          <w:color w:val="333333"/>
          <w:sz w:val="20"/>
          <w:rFonts w:eastAsia="微软雅黑" w:ascii="微软雅黑" w:hAnsi="微软雅黑"/>
        </w:rPr>
        <w:t>第四章 软硬件一体化创新与自主知识产权（Hardware &amp; Patent）</w:t>
      </w:r>
    </w:p>
    <w:p>
      <w:pPr>
        <w:pStyle w:val="ListBullet"/>
        <w:spacing w:before="20" w:after="60" w:line="300" w:lineRule="auto"/>
      </w:pPr>
      <w:r>
        <w:rPr>
          <w:rFonts w:ascii="微软雅黑" w:hAnsi="微软雅黑"/>
          <w:b w:val="0"/>
          <w:i w:val="0"/>
          <w:color w:val="333333"/>
          <w:sz w:val="20"/>
          <w:rFonts w:eastAsia="微软雅黑" w:ascii="微软雅黑" w:hAnsi="微软雅黑"/>
        </w:rPr>
        <w:t>第五章 商业模式与企业定制化落地（Business Model &amp; Strategy）</w:t>
      </w:r>
    </w:p>
    <w:p>
      <w:pPr>
        <w:pStyle w:val="ListBullet"/>
        <w:spacing w:before="20" w:after="60" w:line="300" w:lineRule="auto"/>
      </w:pPr>
      <w:r>
        <w:rPr>
          <w:rFonts w:ascii="微软雅黑" w:hAnsi="微软雅黑"/>
          <w:b w:val="0"/>
          <w:i w:val="0"/>
          <w:color w:val="333333"/>
          <w:sz w:val="20"/>
          <w:rFonts w:eastAsia="微软雅黑" w:ascii="微软雅黑" w:hAnsi="微软雅黑"/>
        </w:rPr>
        <w:t>第六章 市场分析与核心竞争壁垒（Market &amp; Competitiveness）</w:t>
      </w:r>
    </w:p>
    <w:p>
      <w:pPr>
        <w:pStyle w:val="ListBullet"/>
        <w:spacing w:before="20" w:after="60" w:line="300" w:lineRule="auto"/>
      </w:pPr>
      <w:r>
        <w:rPr>
          <w:rFonts w:ascii="微软雅黑" w:hAnsi="微软雅黑"/>
          <w:b w:val="0"/>
          <w:i w:val="0"/>
          <w:color w:val="333333"/>
          <w:sz w:val="20"/>
          <w:rFonts w:eastAsia="微软雅黑" w:ascii="微软雅黑" w:hAnsi="微软雅黑"/>
        </w:rPr>
        <w:t>第七章 公司治理与发展规划（Company &amp; Roadmap）</w:t>
      </w:r>
    </w:p>
    <w:p>
      <w:pPr>
        <w:pStyle w:val="ListBullet"/>
        <w:spacing w:before="20" w:after="60" w:line="300" w:lineRule="auto"/>
      </w:pPr>
      <w:r>
        <w:rPr>
          <w:rFonts w:ascii="微软雅黑" w:hAnsi="微软雅黑"/>
          <w:b w:val="0"/>
          <w:i w:val="0"/>
          <w:color w:val="333333"/>
          <w:sz w:val="20"/>
          <w:rFonts w:eastAsia="微软雅黑" w:ascii="微软雅黑" w:hAnsi="微软雅黑"/>
        </w:rPr>
        <w:t>第八章 财务预测与融资转化需求（Financials &amp; Requirements）</w:t>
      </w:r>
    </w:p>
    <w:p>
      <w:pPr>
        <w:spacing w:after="240"/>
      </w:pPr>
    </w:p>
    <w:p>
      <w:pPr>
        <w:keepNext/>
        <w:spacing w:before="320" w:after="160"/>
      </w:pPr>
      <w:r>
        <w:rPr>
          <w:rFonts w:ascii="微软雅黑" w:hAnsi="微软雅黑"/>
          <w:b/>
          <w:i w:val="0"/>
          <w:color w:val="0F4C81"/>
          <w:sz w:val="30"/>
          <w:rFonts w:eastAsia="微软雅黑" w:ascii="微软雅黑" w:hAnsi="微软雅黑"/>
        </w:rPr>
        <w:t>第一章 执行摘要（Executive Summary）</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40" w:type="dxa"/>
              <w:right w:w="200" w:type="dxa"/>
            </w:tcMar>
            <w:tcBorders>
              <w:top w:val="none"/>
              <w:left w:val="single" w:sz="24" w:space="0" w:color="0F4C81"/>
              <w:bottom w:val="none"/>
              <w:right w:val="none"/>
            </w:tcBorders>
          </w:tcPr>
          <w:p>
            <w:pPr>
              <w:spacing w:before="40" w:after="80" w:line="300" w:lineRule="auto"/>
            </w:pPr>
            <w:r>
              <w:rPr>
                <w:rFonts w:ascii="微软雅黑" w:hAnsi="微软雅黑"/>
                <w:b/>
                <w:i w:val="0"/>
                <w:color w:val="0F4C81"/>
                <w:sz w:val="21"/>
                <w:rFonts w:eastAsia="微软雅黑" w:ascii="微软雅黑" w:hAnsi="微软雅黑"/>
              </w:rPr>
              <w:t>【项目核心概览】</w:t>
              <w:br/>
            </w:r>
          </w:p>
          <w:p>
            <w:pPr>
              <w:spacing w:before="40" w:after="40" w:line="300" w:lineRule="auto"/>
            </w:pPr>
            <w:r>
              <w:rPr>
                <w:rFonts w:ascii="微软雅黑" w:hAnsi="微软雅黑"/>
                <w:b w:val="0"/>
                <w:i w:val="0"/>
                <w:color w:val="323C46"/>
                <w:sz w:val="19"/>
                <w:rFonts w:eastAsia="微软雅黑" w:ascii="微软雅黑" w:hAnsi="微软雅黑"/>
              </w:rPr>
              <w:t>项目名称：SeekClaw 现代化高性能 AI Agent 运行时与智能编码软硬件一体化平台</w:t>
            </w:r>
          </w:p>
          <w:p>
            <w:pPr>
              <w:spacing w:before="40" w:after="40" w:line="300" w:lineRule="auto"/>
            </w:pPr>
            <w:r>
              <w:rPr>
                <w:rFonts w:ascii="微软雅黑" w:hAnsi="微软雅黑"/>
                <w:b w:val="0"/>
                <w:i w:val="0"/>
                <w:color w:val="323C46"/>
                <w:sz w:val="19"/>
                <w:rFonts w:eastAsia="微软雅黑" w:ascii="微软雅黑" w:hAnsi="微软雅黑"/>
              </w:rPr>
              <w:t>所属公司：西安花濑科技有限责任公司（统一社会信用代码：91610104MAK3KJPM6F）</w:t>
            </w:r>
          </w:p>
          <w:p>
            <w:pPr>
              <w:spacing w:before="40" w:after="40" w:line="300" w:lineRule="auto"/>
            </w:pPr>
            <w:r>
              <w:rPr>
                <w:rFonts w:ascii="微软雅黑" w:hAnsi="微软雅黑"/>
                <w:b w:val="0"/>
                <w:i w:val="0"/>
                <w:color w:val="323C46"/>
                <w:sz w:val="19"/>
                <w:rFonts w:eastAsia="微软雅黑" w:ascii="微软雅黑" w:hAnsi="微软雅黑"/>
              </w:rPr>
              <w:t>核心定位：致力于为软件信息、智能制造、金融科技等企业提供高并发、低延迟、深度定制的私有化 AI Agent 运行时底座与物理外置控制台一体化解决方案。</w:t>
            </w:r>
          </w:p>
        </w:tc>
      </w:tr>
    </w:tbl>
    <w:p>
      <w:pPr>
        <w:spacing w:after="80"/>
      </w:pPr>
    </w:p>
    <w:p>
      <w:pPr>
        <w:keepNext/>
        <w:spacing w:before="240" w:after="120"/>
      </w:pPr>
      <w:r>
        <w:rPr>
          <w:rFonts w:ascii="微软雅黑" w:hAnsi="微软雅黑"/>
          <w:b/>
          <w:i w:val="0"/>
          <w:color w:val="1E5A96"/>
          <w:sz w:val="25"/>
          <w:rFonts w:eastAsia="微软雅黑" w:ascii="微软雅黑" w:hAnsi="微软雅黑"/>
        </w:rPr>
        <w:t>1.1 项目简介与愿景</w:t>
      </w:r>
    </w:p>
    <w:p>
      <w:pPr>
        <w:spacing w:before="40" w:after="120" w:line="312" w:lineRule="auto"/>
      </w:pPr>
      <w:r>
        <w:rPr>
          <w:rFonts w:ascii="微软雅黑" w:hAnsi="微软雅黑"/>
          <w:b w:val="0"/>
          <w:i w:val="0"/>
          <w:color w:val="333333"/>
          <w:sz w:val="21"/>
          <w:rFonts w:eastAsia="微软雅黑" w:ascii="微软雅黑" w:hAnsi="微软雅黑"/>
        </w:rPr>
        <w:t>SeekClaw 是由西安花濑科技有限责任公司（花濑 HoiLai）自主研发的高性能工业级 AI Agent 运行时及企业级智能编码助手系统。项目以清洁架构（Clean Architecture）和事件驱动（Event-Driven）设计为基础，彻底攻克了传统 AI 编码助手在面对高并发、复杂工程、多端协同以及深度定制需求时的性能瓶颈与封闭生态壁垒。结合团队已申请的国家专利《一种基于3D打印外壳和树莓派的外置式AI桌面操作控制装置》（专利申请号：2026211483494），SeekClaw 创新性构建了“软硬协同”的下一代智能体交互与控制中枢。</w:t>
      </w:r>
    </w:p>
    <w:p>
      <w:pPr>
        <w:keepNext/>
        <w:spacing w:before="240" w:after="120"/>
      </w:pPr>
      <w:r>
        <w:rPr>
          <w:rFonts w:ascii="微软雅黑" w:hAnsi="微软雅黑"/>
          <w:b/>
          <w:i w:val="0"/>
          <w:color w:val="1E5A96"/>
          <w:sz w:val="25"/>
          <w:rFonts w:eastAsia="微软雅黑" w:ascii="微软雅黑" w:hAnsi="微软雅黑"/>
        </w:rPr>
        <w:t>1.2 核心痛点与突破性创新</w:t>
      </w:r>
    </w:p>
    <w:p>
      <w:pPr>
        <w:spacing w:before="40" w:after="120" w:line="312" w:lineRule="auto"/>
      </w:pPr>
      <w:r>
        <w:rPr>
          <w:rFonts w:ascii="微软雅黑" w:hAnsi="微软雅黑"/>
          <w:b w:val="0"/>
          <w:i w:val="0"/>
          <w:color w:val="333333"/>
          <w:sz w:val="21"/>
          <w:rFonts w:eastAsia="微软雅黑" w:ascii="微软雅黑" w:hAnsi="微软雅黑"/>
        </w:rPr>
        <w:t>传统大模型编程辅助工具主要依赖 IDE 单体插件或闭源云端 SaaS，存在响应延迟高、上下文极易丢失、无法接入企业私有工具链、缺少并发文件锁与代码修改自验证闭环等致命缺陷。SeekClaw 实现了以下四大核心突破：</w:t>
      </w:r>
    </w:p>
    <w:p>
      <w:pPr>
        <w:pStyle w:val="ListBullet"/>
        <w:spacing w:before="20" w:after="60" w:line="300" w:lineRule="auto"/>
      </w:pPr>
      <w:r>
        <w:rPr>
          <w:rFonts w:ascii="微软雅黑" w:hAnsi="微软雅黑"/>
          <w:b/>
          <w:i w:val="0"/>
          <w:color w:val="1E1E1E"/>
          <w:sz w:val="20"/>
          <w:rFonts w:eastAsia="微软雅黑" w:ascii="微软雅黑" w:hAnsi="微软雅黑"/>
        </w:rPr>
        <w:t>1. 架构级突破：</w:t>
      </w:r>
      <w:r>
        <w:rPr>
          <w:rFonts w:ascii="微软雅黑" w:hAnsi="微软雅黑"/>
          <w:b w:val="0"/>
          <w:i w:val="0"/>
          <w:color w:val="333333"/>
          <w:sz w:val="20"/>
          <w:rFonts w:eastAsia="微软雅黑" w:ascii="微软雅黑" w:hAnsi="微软雅黑"/>
        </w:rPr>
        <w:t>采用独立于展示层的 Runtime-First 架构，实现终端 CLI、桌面端、Web 端与后台常驻 Daemon 服务的全栈解耦与统一事件总线调度。</w:t>
      </w:r>
    </w:p>
    <w:p>
      <w:pPr>
        <w:pStyle w:val="ListBullet"/>
        <w:spacing w:before="20" w:after="60" w:line="300" w:lineRule="auto"/>
      </w:pPr>
      <w:r>
        <w:rPr>
          <w:rFonts w:ascii="微软雅黑" w:hAnsi="微软雅黑"/>
          <w:b/>
          <w:i w:val="0"/>
          <w:color w:val="1E1E1E"/>
          <w:sz w:val="20"/>
          <w:rFonts w:eastAsia="微软雅黑" w:ascii="微软雅黑" w:hAnsi="微软雅黑"/>
        </w:rPr>
        <w:t>2. 生态级突破：</w:t>
      </w:r>
      <w:r>
        <w:rPr>
          <w:rFonts w:ascii="微软雅黑" w:hAnsi="微软雅黑"/>
          <w:b w:val="0"/>
          <w:i w:val="0"/>
          <w:color w:val="333333"/>
          <w:sz w:val="20"/>
          <w:rFonts w:eastAsia="微软雅黑" w:ascii="微软雅黑" w:hAnsi="微软雅黑"/>
        </w:rPr>
        <w:t>原生集成开放模型上下文协议（MCP），打破专有工具孤岛，支持任意企业内部私有工具与业务系统的零成本接入。</w:t>
      </w:r>
    </w:p>
    <w:p>
      <w:pPr>
        <w:pStyle w:val="ListBullet"/>
        <w:spacing w:before="20" w:after="60" w:line="300" w:lineRule="auto"/>
      </w:pPr>
      <w:r>
        <w:rPr>
          <w:rFonts w:ascii="微软雅黑" w:hAnsi="微软雅黑"/>
          <w:b/>
          <w:i w:val="0"/>
          <w:color w:val="1E1E1E"/>
          <w:sz w:val="20"/>
          <w:rFonts w:eastAsia="微软雅黑" w:ascii="微软雅黑" w:hAnsi="微软雅黑"/>
        </w:rPr>
        <w:t>3. 算法与可靠性突破：</w:t>
      </w:r>
      <w:r>
        <w:rPr>
          <w:rFonts w:ascii="微软雅黑" w:hAnsi="微软雅黑"/>
          <w:b w:val="0"/>
          <w:i w:val="0"/>
          <w:color w:val="333333"/>
          <w:sz w:val="20"/>
          <w:rFonts w:eastAsia="微软雅黑" w:ascii="微软雅黑" w:hAnsi="微软雅黑"/>
        </w:rPr>
        <w:t>自研动态上下文规划与记忆无损压缩算法、多轮并发任务文件锁协调器，并首创代码生成后的自动化构建自修复闭环。</w:t>
      </w:r>
    </w:p>
    <w:p>
      <w:pPr>
        <w:pStyle w:val="ListBullet"/>
        <w:spacing w:before="20" w:after="60" w:line="300" w:lineRule="auto"/>
      </w:pPr>
      <w:r>
        <w:rPr>
          <w:rFonts w:ascii="微软雅黑" w:hAnsi="微软雅黑"/>
          <w:b/>
          <w:i w:val="0"/>
          <w:color w:val="1E1E1E"/>
          <w:sz w:val="20"/>
          <w:rFonts w:eastAsia="微软雅黑" w:ascii="微软雅黑" w:hAnsi="微软雅黑"/>
        </w:rPr>
        <w:t>4. 软硬协同突破：</w:t>
      </w:r>
      <w:r>
        <w:rPr>
          <w:rFonts w:ascii="微软雅黑" w:hAnsi="微软雅黑"/>
          <w:b w:val="0"/>
          <w:i w:val="0"/>
          <w:color w:val="333333"/>
          <w:sz w:val="20"/>
          <w:rFonts w:eastAsia="微软雅黑" w:ascii="微软雅黑" w:hAnsi="微软雅黑"/>
        </w:rPr>
        <w:t>基于树莓派硬件与 3D 打印工业设计，打造外置实体控制台，实现物理按键触发、状态大屏监控与边缘控制隔离。</w:t>
      </w:r>
    </w:p>
    <w:p>
      <w:pPr>
        <w:keepNext/>
        <w:spacing w:before="240" w:after="120"/>
      </w:pPr>
      <w:r>
        <w:rPr>
          <w:rFonts w:ascii="微软雅黑" w:hAnsi="微软雅黑"/>
          <w:b/>
          <w:i w:val="0"/>
          <w:color w:val="1E5A96"/>
          <w:sz w:val="25"/>
          <w:rFonts w:eastAsia="微软雅黑" w:ascii="微软雅黑" w:hAnsi="微软雅黑"/>
        </w:rPr>
        <w:t>1.3 商业模式与项目进展</w:t>
      </w:r>
    </w:p>
    <w:p>
      <w:pPr>
        <w:spacing w:before="40" w:after="120" w:line="312" w:lineRule="auto"/>
      </w:pPr>
      <w:r>
        <w:rPr>
          <w:rFonts w:ascii="微软雅黑" w:hAnsi="微软雅黑"/>
          <w:b w:val="0"/>
          <w:i w:val="0"/>
          <w:color w:val="333333"/>
          <w:sz w:val="21"/>
          <w:rFonts w:eastAsia="微软雅黑" w:ascii="微软雅黑" w:hAnsi="微软雅黑"/>
        </w:rPr>
        <w:t>公司采用“开源社区基座 + 企业专属 Agent 深度定制”的双轮驱动商业模式：开源版本建立全球技术影响力与标准化生态；商业定制版本深耕企业市场，提供垂直领域 Agent 定制、私有代码知识库融合、私有化部署及外置物理控制台软硬交付，形成高客单价、高复购率的盈利闭环。目前全套系统已研发完毕，通过 158 项全面单元与集成测试，进入中试熟化与企业推广期。</w:t>
      </w:r>
    </w:p>
    <w:p>
      <w:pPr>
        <w:keepNext/>
        <w:spacing w:before="320" w:after="160"/>
      </w:pPr>
      <w:r>
        <w:rPr>
          <w:rFonts w:ascii="微软雅黑" w:hAnsi="微软雅黑"/>
          <w:b/>
          <w:i w:val="0"/>
          <w:color w:val="0F4C81"/>
          <w:sz w:val="30"/>
          <w:rFonts w:eastAsia="微软雅黑" w:ascii="微软雅黑" w:hAnsi="微软雅黑"/>
        </w:rPr>
        <w:t>第二章 行业背景与产业痛点分析（Industry Pain Points）</w:t>
      </w:r>
    </w:p>
    <w:p>
      <w:pPr>
        <w:keepNext/>
        <w:spacing w:before="240" w:after="120"/>
      </w:pPr>
      <w:r>
        <w:rPr>
          <w:rFonts w:ascii="微软雅黑" w:hAnsi="微软雅黑"/>
          <w:b/>
          <w:i w:val="0"/>
          <w:color w:val="1E5A96"/>
          <w:sz w:val="25"/>
          <w:rFonts w:eastAsia="微软雅黑" w:ascii="微软雅黑" w:hAnsi="微软雅黑"/>
        </w:rPr>
        <w:t>2.1 大模型时代软件工程产业升级趋势</w:t>
      </w:r>
    </w:p>
    <w:p>
      <w:pPr>
        <w:spacing w:before="40" w:after="120" w:line="312" w:lineRule="auto"/>
      </w:pPr>
      <w:r>
        <w:rPr>
          <w:rFonts w:ascii="微软雅黑" w:hAnsi="微软雅黑"/>
          <w:b w:val="0"/>
          <w:i w:val="0"/>
          <w:color w:val="333333"/>
          <w:sz w:val="21"/>
          <w:rFonts w:eastAsia="微软雅黑" w:ascii="微软雅黑" w:hAnsi="微软雅黑"/>
        </w:rPr>
        <w:t>全球软件产业正经历从传统的“人工手动编码”向“AI Agent 自主编程协同”的范式跃迁。据 Gartner 与 IDC 权威预测，到 2028 年，全球超过 75% 的企业级软件工程师将使用 AI 编码助手，软件工程智能体市场规模将突破千亿元人民币。然而，大模型直接应用于复杂工业级软件项目时，单纯依靠模型自身的 Prompt 交互已无法满足工程化要求，行业亟需高性能、高可靠的专用智能体运行时底座。</w:t>
      </w:r>
    </w:p>
    <w:p>
      <w:pPr>
        <w:keepNext/>
        <w:spacing w:before="240" w:after="120"/>
      </w:pPr>
      <w:r>
        <w:rPr>
          <w:rFonts w:ascii="微软雅黑" w:hAnsi="微软雅黑"/>
          <w:b/>
          <w:i w:val="0"/>
          <w:color w:val="1E5A96"/>
          <w:sz w:val="25"/>
          <w:rFonts w:eastAsia="微软雅黑" w:ascii="微软雅黑" w:hAnsi="微软雅黑"/>
        </w:rPr>
        <w:t>2.2 企业级 AI 编码助手的四大产业痛点</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3120"/>
            <w:shd w:fill="0F4C81"/>
          </w:tcPr>
          <w:p>
            <w:pPr>
              <w:jc w:val="center"/>
            </w:pPr>
            <w:r>
              <w:rPr>
                <w:rFonts w:ascii="微软雅黑" w:hAnsi="微软雅黑"/>
                <w:b/>
                <w:i w:val="0"/>
                <w:color w:val="FFFFFF"/>
                <w:sz w:val="19"/>
                <w:rFonts w:eastAsia="微软雅黑" w:ascii="微软雅黑" w:hAnsi="微软雅黑"/>
              </w:rPr>
              <w:t>产业核心痛点</w:t>
            </w:r>
          </w:p>
        </w:tc>
        <w:tc>
          <w:tcPr>
            <w:tcW w:type="dxa" w:w="3120"/>
            <w:shd w:fill="0F4C81"/>
          </w:tcPr>
          <w:p>
            <w:pPr>
              <w:jc w:val="center"/>
            </w:pPr>
            <w:r>
              <w:rPr>
                <w:rFonts w:ascii="微软雅黑" w:hAnsi="微软雅黑"/>
                <w:b/>
                <w:i w:val="0"/>
                <w:color w:val="FFFFFF"/>
                <w:sz w:val="19"/>
                <w:rFonts w:eastAsia="微软雅黑" w:ascii="微软雅黑" w:hAnsi="微软雅黑"/>
              </w:rPr>
              <w:t>行业现状表现</w:t>
            </w:r>
          </w:p>
        </w:tc>
        <w:tc>
          <w:tcPr>
            <w:tcW w:type="dxa" w:w="3120"/>
            <w:shd w:fill="0F4C81"/>
          </w:tcPr>
          <w:p>
            <w:pPr>
              <w:jc w:val="center"/>
            </w:pPr>
            <w:r>
              <w:rPr>
                <w:rFonts w:ascii="微软雅黑" w:hAnsi="微软雅黑"/>
                <w:b/>
                <w:i w:val="0"/>
                <w:color w:val="FFFFFF"/>
                <w:sz w:val="19"/>
                <w:rFonts w:eastAsia="微软雅黑" w:ascii="微软雅黑" w:hAnsi="微软雅黑"/>
              </w:rPr>
              <w:t>对企业造成的严重阻碍</w:t>
            </w:r>
          </w:p>
        </w:tc>
      </w:tr>
      <w:tr>
        <w:tc>
          <w:tcPr>
            <w:tcW w:type="dxa" w:w="2592"/>
            <w:shd w:fill="F9FBFD"/>
            <w:tcMar>
              <w:top w:w="100" w:type="dxa"/>
              <w:bottom w:w="100" w:type="dxa"/>
              <w:left w:w="120" w:type="dxa"/>
              <w:right w:w="120" w:type="dxa"/>
            </w:tcMar>
          </w:tcPr>
          <w:p>
            <w:pPr>
              <w:spacing w:after="40"/>
            </w:pPr>
            <w:r>
              <w:rPr>
                <w:rFonts w:ascii="微软雅黑" w:hAnsi="微软雅黑"/>
                <w:b w:val="0"/>
                <w:i w:val="0"/>
                <w:color w:val="282828"/>
                <w:sz w:val="18"/>
                <w:rFonts w:eastAsia="微软雅黑" w:ascii="微软雅黑" w:hAnsi="微软雅黑"/>
              </w:rPr>
              <w:t>1. 强绑定与单一供应商锁定</w:t>
            </w:r>
          </w:p>
        </w:tc>
        <w:tc>
          <w:tcPr>
            <w:tcW w:type="dxa" w:w="3600"/>
            <w:shd w:fill="F9FBFD"/>
            <w:tcMar>
              <w:top w:w="100" w:type="dxa"/>
              <w:bottom w:w="100" w:type="dxa"/>
              <w:left w:w="120" w:type="dxa"/>
              <w:right w:w="120" w:type="dxa"/>
            </w:tcMar>
          </w:tcPr>
          <w:p>
            <w:pPr>
              <w:spacing w:after="40"/>
            </w:pPr>
            <w:r>
              <w:rPr>
                <w:rFonts w:ascii="微软雅黑" w:hAnsi="微软雅黑"/>
                <w:b w:val="0"/>
                <w:i w:val="0"/>
                <w:color w:val="282828"/>
                <w:sz w:val="18"/>
                <w:rFonts w:eastAsia="微软雅黑" w:ascii="微软雅黑" w:hAnsi="微软雅黑"/>
              </w:rPr>
              <w:t>现有商业工具大多强绑定特定闭源模型，无法自由切换国内大模型或本地开源模型。</w:t>
            </w:r>
          </w:p>
        </w:tc>
        <w:tc>
          <w:tcPr>
            <w:tcW w:type="dxa" w:w="3456"/>
            <w:shd w:fill="F9FBFD"/>
            <w:tcMar>
              <w:top w:w="100" w:type="dxa"/>
              <w:bottom w:w="100" w:type="dxa"/>
              <w:left w:w="120" w:type="dxa"/>
              <w:right w:w="120" w:type="dxa"/>
            </w:tcMar>
          </w:tcPr>
          <w:p>
            <w:pPr>
              <w:spacing w:after="40"/>
            </w:pPr>
            <w:r>
              <w:rPr>
                <w:rFonts w:ascii="微软雅黑" w:hAnsi="微软雅黑"/>
                <w:b w:val="0"/>
                <w:i w:val="0"/>
                <w:color w:val="282828"/>
                <w:sz w:val="18"/>
                <w:rFonts w:eastAsia="微软雅黑" w:ascii="微软雅黑" w:hAnsi="微软雅黑"/>
              </w:rPr>
              <w:t>企业面临严重的供应链技术断供风险与昂贵的数据上云调用成本。</w:t>
            </w:r>
          </w:p>
        </w:tc>
      </w:tr>
      <w:tr>
        <w:tc>
          <w:tcPr>
            <w:tcW w:type="dxa" w:w="2592"/>
            <w:shd w:fill="FFFFFF"/>
            <w:tcMar>
              <w:top w:w="100" w:type="dxa"/>
              <w:bottom w:w="100" w:type="dxa"/>
              <w:left w:w="120" w:type="dxa"/>
              <w:right w:w="120" w:type="dxa"/>
            </w:tcMar>
          </w:tcPr>
          <w:p>
            <w:pPr>
              <w:spacing w:after="40"/>
            </w:pPr>
            <w:r>
              <w:rPr>
                <w:rFonts w:ascii="微软雅黑" w:hAnsi="微软雅黑"/>
                <w:b w:val="0"/>
                <w:i w:val="0"/>
                <w:color w:val="282828"/>
                <w:sz w:val="18"/>
                <w:rFonts w:eastAsia="微软雅黑" w:ascii="微软雅黑" w:hAnsi="微软雅黑"/>
              </w:rPr>
              <w:t>2. 交互卡顿与性能瓶颈</w:t>
            </w:r>
          </w:p>
        </w:tc>
        <w:tc>
          <w:tcPr>
            <w:tcW w:type="dxa" w:w="3600"/>
            <w:shd w:fill="FFFFFF"/>
            <w:tcMar>
              <w:top w:w="100" w:type="dxa"/>
              <w:bottom w:w="100" w:type="dxa"/>
              <w:left w:w="120" w:type="dxa"/>
              <w:right w:w="120" w:type="dxa"/>
            </w:tcMar>
          </w:tcPr>
          <w:p>
            <w:pPr>
              <w:spacing w:after="40"/>
            </w:pPr>
            <w:r>
              <w:rPr>
                <w:rFonts w:ascii="微软雅黑" w:hAnsi="微软雅黑"/>
                <w:b w:val="0"/>
                <w:i w:val="0"/>
                <w:color w:val="282828"/>
                <w:sz w:val="18"/>
                <w:rFonts w:eastAsia="微软雅黑" w:ascii="微软雅黑" w:hAnsi="微软雅黑"/>
              </w:rPr>
              <w:t>单进程渲染与逻辑混杂，多轮复杂推理时界面卡顿、频繁丢字、无法平滑流式输出。</w:t>
            </w:r>
          </w:p>
        </w:tc>
        <w:tc>
          <w:tcPr>
            <w:tcW w:type="dxa" w:w="3456"/>
            <w:shd w:fill="FFFFFF"/>
            <w:tcMar>
              <w:top w:w="100" w:type="dxa"/>
              <w:bottom w:w="100" w:type="dxa"/>
              <w:left w:w="120" w:type="dxa"/>
              <w:right w:w="120" w:type="dxa"/>
            </w:tcMar>
          </w:tcPr>
          <w:p>
            <w:pPr>
              <w:spacing w:after="40"/>
            </w:pPr>
            <w:r>
              <w:rPr>
                <w:rFonts w:ascii="微软雅黑" w:hAnsi="微软雅黑"/>
                <w:b w:val="0"/>
                <w:i w:val="0"/>
                <w:color w:val="282828"/>
                <w:sz w:val="18"/>
                <w:rFonts w:eastAsia="微软雅黑" w:ascii="微软雅黑" w:hAnsi="微软雅黑"/>
              </w:rPr>
              <w:t>开发者工作流被严重打断，高延迟导致交互体验与研发效率大打折扣。</w:t>
            </w:r>
          </w:p>
        </w:tc>
      </w:tr>
      <w:tr>
        <w:tc>
          <w:tcPr>
            <w:tcW w:type="dxa" w:w="2592"/>
            <w:shd w:fill="F9FBFD"/>
            <w:tcMar>
              <w:top w:w="100" w:type="dxa"/>
              <w:bottom w:w="100" w:type="dxa"/>
              <w:left w:w="120" w:type="dxa"/>
              <w:right w:w="120" w:type="dxa"/>
            </w:tcMar>
          </w:tcPr>
          <w:p>
            <w:pPr>
              <w:spacing w:after="40"/>
            </w:pPr>
            <w:r>
              <w:rPr>
                <w:rFonts w:ascii="微软雅黑" w:hAnsi="微软雅黑"/>
                <w:b w:val="0"/>
                <w:i w:val="0"/>
                <w:color w:val="282828"/>
                <w:sz w:val="18"/>
                <w:rFonts w:eastAsia="微软雅黑" w:ascii="微软雅黑" w:hAnsi="微软雅黑"/>
              </w:rPr>
              <w:t>3. 缺乏工程自验证与防冲突</w:t>
            </w:r>
          </w:p>
        </w:tc>
        <w:tc>
          <w:tcPr>
            <w:tcW w:type="dxa" w:w="3600"/>
            <w:shd w:fill="F9FBFD"/>
            <w:tcMar>
              <w:top w:w="100" w:type="dxa"/>
              <w:bottom w:w="100" w:type="dxa"/>
              <w:left w:w="120" w:type="dxa"/>
              <w:right w:w="120" w:type="dxa"/>
            </w:tcMar>
          </w:tcPr>
          <w:p>
            <w:pPr>
              <w:spacing w:after="40"/>
            </w:pPr>
            <w:r>
              <w:rPr>
                <w:rFonts w:ascii="微软雅黑" w:hAnsi="微软雅黑"/>
                <w:b w:val="0"/>
                <w:i w:val="0"/>
                <w:color w:val="282828"/>
                <w:sz w:val="18"/>
                <w:rFonts w:eastAsia="微软雅黑" w:ascii="微软雅黑" w:hAnsi="微软雅黑"/>
              </w:rPr>
              <w:t>模型生成的代码修改往往存在语法错误；多任务并发时文件读写互相踩踏冲突。</w:t>
            </w:r>
          </w:p>
        </w:tc>
        <w:tc>
          <w:tcPr>
            <w:tcW w:type="dxa" w:w="3456"/>
            <w:shd w:fill="F9FBFD"/>
            <w:tcMar>
              <w:top w:w="100" w:type="dxa"/>
              <w:bottom w:w="100" w:type="dxa"/>
              <w:left w:w="120" w:type="dxa"/>
              <w:right w:w="120" w:type="dxa"/>
            </w:tcMar>
          </w:tcPr>
          <w:p>
            <w:pPr>
              <w:spacing w:after="40"/>
            </w:pPr>
            <w:r>
              <w:rPr>
                <w:rFonts w:ascii="微软雅黑" w:hAnsi="微软雅黑"/>
                <w:b w:val="0"/>
                <w:i w:val="0"/>
                <w:color w:val="282828"/>
                <w:sz w:val="18"/>
                <w:rFonts w:eastAsia="微软雅黑" w:ascii="微软雅黑" w:hAnsi="微软雅黑"/>
              </w:rPr>
              <w:t>生成的代码无法直接构建，人工排查成本极高，企业不敢在核心系统中使用。</w:t>
            </w:r>
          </w:p>
        </w:tc>
      </w:tr>
      <w:tr>
        <w:tc>
          <w:tcPr>
            <w:tcW w:type="dxa" w:w="2592"/>
            <w:shd w:fill="FFFFFF"/>
            <w:tcMar>
              <w:top w:w="100" w:type="dxa"/>
              <w:bottom w:w="100" w:type="dxa"/>
              <w:left w:w="120" w:type="dxa"/>
              <w:right w:w="120" w:type="dxa"/>
            </w:tcMar>
          </w:tcPr>
          <w:p>
            <w:pPr>
              <w:spacing w:after="40"/>
            </w:pPr>
            <w:r>
              <w:rPr>
                <w:rFonts w:ascii="微软雅黑" w:hAnsi="微软雅黑"/>
                <w:b w:val="0"/>
                <w:i w:val="0"/>
                <w:color w:val="282828"/>
                <w:sz w:val="18"/>
                <w:rFonts w:eastAsia="微软雅黑" w:ascii="微软雅黑" w:hAnsi="微软雅黑"/>
              </w:rPr>
              <w:t>4. 私有业务定制难度极高</w:t>
            </w:r>
          </w:p>
        </w:tc>
        <w:tc>
          <w:tcPr>
            <w:tcW w:type="dxa" w:w="3600"/>
            <w:shd w:fill="FFFFFF"/>
            <w:tcMar>
              <w:top w:w="100" w:type="dxa"/>
              <w:bottom w:w="100" w:type="dxa"/>
              <w:left w:w="120" w:type="dxa"/>
              <w:right w:w="120" w:type="dxa"/>
            </w:tcMar>
          </w:tcPr>
          <w:p>
            <w:pPr>
              <w:spacing w:after="40"/>
            </w:pPr>
            <w:r>
              <w:rPr>
                <w:rFonts w:ascii="微软雅黑" w:hAnsi="微软雅黑"/>
                <w:b w:val="0"/>
                <w:i w:val="0"/>
                <w:color w:val="282828"/>
                <w:sz w:val="18"/>
                <w:rFonts w:eastAsia="微软雅黑" w:ascii="微软雅黑" w:hAnsi="微软雅黑"/>
              </w:rPr>
              <w:t>现有工具均为通用模版，无法接入企业私有数据库、内部研发运维工具链及专属规范。</w:t>
            </w:r>
          </w:p>
        </w:tc>
        <w:tc>
          <w:tcPr>
            <w:tcW w:type="dxa" w:w="3456"/>
            <w:shd w:fill="FFFFFF"/>
            <w:tcMar>
              <w:top w:w="100" w:type="dxa"/>
              <w:bottom w:w="100" w:type="dxa"/>
              <w:left w:w="120" w:type="dxa"/>
              <w:right w:w="120" w:type="dxa"/>
            </w:tcMar>
          </w:tcPr>
          <w:p>
            <w:pPr>
              <w:spacing w:after="40"/>
            </w:pPr>
            <w:r>
              <w:rPr>
                <w:rFonts w:ascii="微软雅黑" w:hAnsi="微软雅黑"/>
                <w:b w:val="0"/>
                <w:i w:val="0"/>
                <w:color w:val="282828"/>
                <w:sz w:val="18"/>
                <w:rFonts w:eastAsia="微软雅黑" w:ascii="微软雅黑" w:hAnsi="微软雅黑"/>
              </w:rPr>
              <w:t>企业定制化门槛高、成本大，无法与工业制造、金融等垂直流程深度整合。</w:t>
            </w:r>
          </w:p>
        </w:tc>
      </w:tr>
    </w:tbl>
    <w:p>
      <w:pPr>
        <w:spacing w:after="120"/>
      </w:pPr>
    </w:p>
    <w:p>
      <w:pPr>
        <w:keepNext/>
        <w:spacing w:before="320" w:after="160"/>
      </w:pPr>
      <w:r>
        <w:rPr>
          <w:rFonts w:ascii="微软雅黑" w:hAnsi="微软雅黑"/>
          <w:b/>
          <w:i w:val="0"/>
          <w:color w:val="0F4C81"/>
          <w:sz w:val="30"/>
          <w:rFonts w:eastAsia="微软雅黑" w:ascii="微软雅黑" w:hAnsi="微软雅黑"/>
        </w:rPr>
        <w:t>第三章 SeekClaw 核心产品与技术解决方案（Product &amp; Architecture）</w:t>
      </w:r>
    </w:p>
    <w:p>
      <w:pPr>
        <w:keepNext/>
        <w:spacing w:before="240" w:after="120"/>
      </w:pPr>
      <w:r>
        <w:rPr>
          <w:rFonts w:ascii="微软雅黑" w:hAnsi="微软雅黑"/>
          <w:b/>
          <w:i w:val="0"/>
          <w:color w:val="1E5A96"/>
          <w:sz w:val="25"/>
          <w:rFonts w:eastAsia="微软雅黑" w:ascii="微软雅黑" w:hAnsi="微软雅黑"/>
        </w:rPr>
        <w:t>3.1 总体架构设计（Runtime-First 清洁架构）</w:t>
      </w:r>
    </w:p>
    <w:p>
      <w:pPr>
        <w:spacing w:before="40" w:after="120" w:line="312" w:lineRule="auto"/>
      </w:pPr>
      <w:r>
        <w:rPr>
          <w:rFonts w:ascii="微软雅黑" w:hAnsi="微软雅黑"/>
          <w:b w:val="0"/>
          <w:i w:val="0"/>
          <w:color w:val="333333"/>
          <w:sz w:val="21"/>
          <w:rFonts w:eastAsia="微软雅黑" w:ascii="微软雅黑" w:hAnsi="微软雅黑"/>
        </w:rPr>
        <w:t>SeekClaw 严格践行“运行时优先”的清洁架构设计原则。系统划分为前端接入层、通信与调度层、核心运行时层及基础存储层，确保核心推理与工具执行逻辑与具体展示平台完全解耦。</w:t>
      </w:r>
    </w:p>
    <w:p>
      <w:pPr>
        <w:pStyle w:val="ListBullet"/>
        <w:spacing w:before="20" w:after="60" w:line="300" w:lineRule="auto"/>
      </w:pPr>
      <w:r>
        <w:rPr>
          <w:rFonts w:ascii="微软雅黑" w:hAnsi="微软雅黑"/>
          <w:b/>
          <w:i w:val="0"/>
          <w:color w:val="1E1E1E"/>
          <w:sz w:val="20"/>
          <w:rFonts w:eastAsia="微软雅黑" w:ascii="微软雅黑" w:hAnsi="微软雅黑"/>
        </w:rPr>
        <w:t>• 多端接入矩阵：</w:t>
      </w:r>
      <w:r>
        <w:rPr>
          <w:rFonts w:ascii="微软雅黑" w:hAnsi="微软雅黑"/>
          <w:b w:val="0"/>
          <w:i w:val="0"/>
          <w:color w:val="333333"/>
          <w:sz w:val="20"/>
          <w:rFonts w:eastAsia="微软雅黑" w:ascii="微软雅黑" w:hAnsi="微软雅黑"/>
        </w:rPr>
        <w:t>命令行终端（seekclaw_cli）：内置自研 30-60 FPS 双缓冲 ANSI 流式渲染引擎；跨平台桌面端（seekclaw_desktop）：基于 Electron + Vue 3 + TypeScript，支持富文本、KaTeX 公式与 Mermaid 图表；Web 仪表盘（seekclaw_webserver）：基于 ASP.NET Core Blazor 提供企业管理与文档服务。</w:t>
      </w:r>
    </w:p>
    <w:p>
      <w:pPr>
        <w:pStyle w:val="ListBullet"/>
        <w:spacing w:before="20" w:after="60" w:line="300" w:lineRule="auto"/>
      </w:pPr>
      <w:r>
        <w:rPr>
          <w:rFonts w:ascii="微软雅黑" w:hAnsi="微软雅黑"/>
          <w:b/>
          <w:i w:val="0"/>
          <w:color w:val="1E1E1E"/>
          <w:sz w:val="20"/>
          <w:rFonts w:eastAsia="微软雅黑" w:ascii="微软雅黑" w:hAnsi="微软雅黑"/>
        </w:rPr>
        <w:t>• 高性能守护中枢：</w:t>
      </w:r>
      <w:r>
        <w:rPr>
          <w:rFonts w:ascii="微软雅黑" w:hAnsi="微软雅黑"/>
          <w:b w:val="0"/>
          <w:i w:val="0"/>
          <w:color w:val="333333"/>
          <w:sz w:val="20"/>
          <w:rFonts w:eastAsia="微软雅黑" w:ascii="微软雅黑" w:hAnsi="微软雅黑"/>
        </w:rPr>
        <w:t>常驻后台守护服务（DaemonServer）：在 Windows 平台采用命名管道（\\.\pipe\seekclaw），在 Linux/macOS 采用 Unix Domain Socket，对外提供标准化 Newline-Delimited JSON-RPC 通信协议，支撑高并发、隔离式任务流。</w:t>
      </w:r>
    </w:p>
    <w:p>
      <w:pPr>
        <w:pStyle w:val="ListBullet"/>
        <w:spacing w:before="20" w:after="60" w:line="300" w:lineRule="auto"/>
      </w:pPr>
      <w:r>
        <w:rPr>
          <w:rFonts w:ascii="微软雅黑" w:hAnsi="微软雅黑"/>
          <w:b/>
          <w:i w:val="0"/>
          <w:color w:val="1E1E1E"/>
          <w:sz w:val="20"/>
          <w:rFonts w:eastAsia="微软雅黑" w:ascii="微软雅黑" w:hAnsi="微软雅黑"/>
        </w:rPr>
        <w:t>• 核心运行时组合根：</w:t>
      </w:r>
      <w:r>
        <w:rPr>
          <w:rFonts w:ascii="微软雅黑" w:hAnsi="微软雅黑"/>
          <w:b w:val="0"/>
          <w:i w:val="0"/>
          <w:color w:val="333333"/>
          <w:sz w:val="20"/>
          <w:rFonts w:eastAsia="微软雅黑" w:ascii="微软雅黑" w:hAnsi="微软雅黑"/>
        </w:rPr>
        <w:t>组合根（SeekClawRuntime）：统一管理事件总线（EventBus）、模型提供商（ProviderManager）、工具中心（ToolRegistry）、提示词引擎（PromptProvider）及工作区（WorkspaceManager）。</w:t>
      </w:r>
    </w:p>
    <w:p>
      <w:pPr>
        <w:keepNext/>
        <w:spacing w:before="240" w:after="120"/>
      </w:pPr>
      <w:r>
        <w:rPr>
          <w:rFonts w:ascii="微软雅黑" w:hAnsi="微软雅黑"/>
          <w:b/>
          <w:i w:val="0"/>
          <w:color w:val="1E5A96"/>
          <w:sz w:val="25"/>
          <w:rFonts w:eastAsia="微软雅黑" w:ascii="微软雅黑" w:hAnsi="微软雅黑"/>
        </w:rPr>
        <w:t>3.2 六大核心技术创新机制</w:t>
      </w:r>
    </w:p>
    <w:p>
      <w:pPr>
        <w:keepNext/>
        <w:spacing w:before="160" w:after="80"/>
      </w:pPr>
      <w:r>
        <w:rPr>
          <w:rFonts w:ascii="微软雅黑" w:hAnsi="微软雅黑"/>
          <w:b/>
          <w:i w:val="0"/>
          <w:color w:val="3C3C3C"/>
          <w:sz w:val="22"/>
          <w:rFonts w:eastAsia="微软雅黑" w:ascii="微软雅黑" w:hAnsi="微软雅黑"/>
        </w:rPr>
        <w:t>1. 多提供商智能路由与熔断降级（Provider &amp; Circuit Breaker）</w:t>
      </w:r>
    </w:p>
    <w:p>
      <w:pPr>
        <w:spacing w:before="40" w:after="120" w:line="312" w:lineRule="auto"/>
      </w:pPr>
      <w:r>
        <w:rPr>
          <w:rFonts w:ascii="微软雅黑" w:hAnsi="微软雅黑"/>
          <w:b w:val="0"/>
          <w:i w:val="0"/>
          <w:color w:val="333333"/>
          <w:sz w:val="21"/>
          <w:rFonts w:eastAsia="微软雅黑" w:ascii="微软雅黑" w:hAnsi="微软雅黑"/>
        </w:rPr>
        <w:t>支持 OpenAI 兼容标准接口、Anthropic 原生协议以及本地离线大模型（Ollama / LM Studio 等）。系统提供“快速响应（Fast）、均衡（Balanced）、高质量（Quality）、经济优先（Cheap）、完全离线（Offline）”等多重智能路由策略，并内置指数退避重试与熔断器（CircuitBreaker），单点提供商故障时可在毫秒级自动切换备用链路。</w:t>
      </w:r>
    </w:p>
    <w:p>
      <w:pPr>
        <w:keepNext/>
        <w:spacing w:before="160" w:after="80"/>
      </w:pPr>
      <w:r>
        <w:rPr>
          <w:rFonts w:ascii="微软雅黑" w:hAnsi="微软雅黑"/>
          <w:b/>
          <w:i w:val="0"/>
          <w:color w:val="3C3C3C"/>
          <w:sz w:val="22"/>
          <w:rFonts w:eastAsia="微软雅黑" w:ascii="微软雅黑" w:hAnsi="微软雅黑"/>
        </w:rPr>
        <w:t>2. 原生 MCP（Model Context Protocol）生态互联</w:t>
      </w:r>
    </w:p>
    <w:p>
      <w:pPr>
        <w:spacing w:before="40" w:after="120" w:line="312" w:lineRule="auto"/>
      </w:pPr>
      <w:r>
        <w:rPr>
          <w:rFonts w:ascii="微软雅黑" w:hAnsi="微软雅黑"/>
          <w:b w:val="0"/>
          <w:i w:val="0"/>
          <w:color w:val="333333"/>
          <w:sz w:val="21"/>
          <w:rFonts w:eastAsia="微软雅黑" w:ascii="微软雅黑" w:hAnsi="微软雅黑"/>
        </w:rPr>
        <w:t>原生实现 Anthropic 发起的标准化 MCP 协议，支持 Stdio 与 SSE 双传输通道，能够自动发现、加载并调用外部 MCP Server 提供的工具、提示词与数据资源，使 Agent 无缝调取企业内部私有数据库、API 及外部 SaaS 平台。</w:t>
      </w:r>
    </w:p>
    <w:p>
      <w:pPr>
        <w:keepNext/>
        <w:spacing w:before="160" w:after="80"/>
      </w:pPr>
      <w:r>
        <w:rPr>
          <w:rFonts w:ascii="微软雅黑" w:hAnsi="微软雅黑"/>
          <w:b/>
          <w:i w:val="0"/>
          <w:color w:val="3C3C3C"/>
          <w:sz w:val="22"/>
          <w:rFonts w:eastAsia="微软雅黑" w:ascii="微软雅黑" w:hAnsi="微软雅黑"/>
        </w:rPr>
        <w:t>3. 长上下文规划与无损记忆压缩（Context Planner &amp; Compaction）</w:t>
      </w:r>
    </w:p>
    <w:p>
      <w:pPr>
        <w:spacing w:before="40" w:after="120" w:line="312" w:lineRule="auto"/>
      </w:pPr>
      <w:r>
        <w:rPr>
          <w:rFonts w:ascii="微软雅黑" w:hAnsi="微软雅黑"/>
          <w:b w:val="0"/>
          <w:i w:val="0"/>
          <w:color w:val="333333"/>
          <w:sz w:val="21"/>
          <w:rFonts w:eastAsia="微软雅黑" w:ascii="微软雅黑" w:hAnsi="微软雅黑"/>
        </w:rPr>
        <w:t>针对复杂多轮工程任务中 Token 窗口容易溢出的痛点，自研 ContextPlanner 上下文规划算法。在修剪历史消息前，自动调用轻量级模型进行摘要提炼与记忆压缩，保证长周期复杂编程任务中关键业务记忆与设计决策永不丢失。</w:t>
      </w:r>
    </w:p>
    <w:p>
      <w:pPr>
        <w:keepNext/>
        <w:spacing w:before="160" w:after="80"/>
      </w:pPr>
      <w:r>
        <w:rPr>
          <w:rFonts w:ascii="微软雅黑" w:hAnsi="微软雅黑"/>
          <w:b/>
          <w:i w:val="0"/>
          <w:color w:val="3C3C3C"/>
          <w:sz w:val="22"/>
          <w:rFonts w:eastAsia="微软雅黑" w:ascii="微软雅黑" w:hAnsi="微软雅黑"/>
        </w:rPr>
        <w:t>4. 多任务并发文件锁协调器（FileLockCoordinator）</w:t>
      </w:r>
    </w:p>
    <w:p>
      <w:pPr>
        <w:spacing w:before="40" w:after="120" w:line="312" w:lineRule="auto"/>
      </w:pPr>
      <w:r>
        <w:rPr>
          <w:rFonts w:ascii="微软雅黑" w:hAnsi="微软雅黑"/>
          <w:b w:val="0"/>
          <w:i w:val="0"/>
          <w:color w:val="333333"/>
          <w:sz w:val="21"/>
          <w:rFonts w:eastAsia="微软雅黑" w:ascii="微软雅黑" w:hAnsi="微软雅黑"/>
        </w:rPr>
        <w:t>在常驻 Daemon 模式下支持多 Agent 并发执行。为防止不同 Agent 任务同时编辑同一源文件导致代码踩踏冲突，自研进程级全局文件写锁协调器与租约隔离机制，确保多任务并行时的绝对数据一致性。</w:t>
      </w:r>
    </w:p>
    <w:p>
      <w:pPr>
        <w:keepNext/>
        <w:spacing w:before="160" w:after="80"/>
      </w:pPr>
      <w:r>
        <w:rPr>
          <w:rFonts w:ascii="微软雅黑" w:hAnsi="微软雅黑"/>
          <w:b/>
          <w:i w:val="0"/>
          <w:color w:val="3C3C3C"/>
          <w:sz w:val="22"/>
          <w:rFonts w:eastAsia="微软雅黑" w:ascii="微软雅黑" w:hAnsi="微软雅黑"/>
        </w:rPr>
        <w:t>5. 代码修改自动构建验证与闭环自修复（BuildVerifier）</w:t>
      </w:r>
    </w:p>
    <w:p>
      <w:pPr>
        <w:spacing w:before="40" w:after="120" w:line="312" w:lineRule="auto"/>
      </w:pPr>
      <w:r>
        <w:rPr>
          <w:rFonts w:ascii="微软雅黑" w:hAnsi="微软雅黑"/>
          <w:b w:val="0"/>
          <w:i w:val="0"/>
          <w:color w:val="333333"/>
          <w:sz w:val="21"/>
          <w:rFonts w:eastAsia="微软雅黑" w:ascii="微软雅黑" w:hAnsi="微软雅黑"/>
        </w:rPr>
        <w:t>首创代码变更自动化自愈机制。Agent 每次执行文件写操作后，BuildVerifier 会即时触发对应技术栈（.NET, Node.js, Python, Rust, Go, Vue 等）的增量构建或静态语法检查；若产生编译错误，自动将错误诊断报告作为额外轮次反馈给 Agent 开启自动修复循环，实现“生成-构建-诊断-修复”全自动化闭环。</w:t>
      </w:r>
    </w:p>
    <w:p>
      <w:pPr>
        <w:keepNext/>
        <w:spacing w:before="160" w:after="80"/>
      </w:pPr>
      <w:r>
        <w:rPr>
          <w:rFonts w:ascii="微软雅黑" w:hAnsi="微软雅黑"/>
          <w:b/>
          <w:i w:val="0"/>
          <w:color w:val="3C3C3C"/>
          <w:sz w:val="22"/>
          <w:rFonts w:eastAsia="微软雅黑" w:ascii="微软雅黑" w:hAnsi="微软雅黑"/>
        </w:rPr>
        <w:t>6. 游戏级终端渲染引擎（TerminalRenderer）</w:t>
      </w:r>
    </w:p>
    <w:p>
      <w:pPr>
        <w:spacing w:before="40" w:after="120" w:line="312" w:lineRule="auto"/>
      </w:pPr>
      <w:r>
        <w:rPr>
          <w:rFonts w:ascii="微软雅黑" w:hAnsi="微软雅黑"/>
          <w:b w:val="0"/>
          <w:i w:val="0"/>
          <w:color w:val="333333"/>
          <w:sz w:val="21"/>
          <w:rFonts w:eastAsia="微软雅黑" w:ascii="微软雅黑" w:hAnsi="微软雅黑"/>
        </w:rPr>
        <w:t>摒弃传统控制台逐行打印导致的严重闪烁与卡顿，采用游戏级双缓冲帧渲染技术，实现 30-60 FPS 平滑刷新。实时流式呈现思考推理过程（Thinking）、代码高亮与动态加载动画，带来极致流畅的交互体验。</w:t>
      </w:r>
    </w:p>
    <w:p>
      <w:pPr>
        <w:keepNext/>
        <w:spacing w:before="320" w:after="160"/>
      </w:pPr>
      <w:r>
        <w:rPr>
          <w:rFonts w:ascii="微软雅黑" w:hAnsi="微软雅黑"/>
          <w:b/>
          <w:i w:val="0"/>
          <w:color w:val="0F4C81"/>
          <w:sz w:val="30"/>
          <w:rFonts w:eastAsia="微软雅黑" w:ascii="微软雅黑" w:hAnsi="微软雅黑"/>
        </w:rPr>
        <w:t>第四章 软硬件一体化创新与自主知识产权（Hardware &amp; Patent）</w:t>
      </w:r>
    </w:p>
    <w:p>
      <w:pPr>
        <w:keepNext/>
        <w:spacing w:before="240" w:after="120"/>
      </w:pPr>
      <w:r>
        <w:rPr>
          <w:rFonts w:ascii="微软雅黑" w:hAnsi="微软雅黑"/>
          <w:b/>
          <w:i w:val="0"/>
          <w:color w:val="1E5A96"/>
          <w:sz w:val="25"/>
          <w:rFonts w:eastAsia="微软雅黑" w:ascii="微软雅黑" w:hAnsi="微软雅黑"/>
        </w:rPr>
        <w:t>4.1 外置式 AI 桌面操作控制装置（国家专利）</w:t>
      </w:r>
    </w:p>
    <w:p>
      <w:pPr>
        <w:spacing w:before="40" w:after="120" w:line="312" w:lineRule="auto"/>
      </w:pPr>
      <w:r>
        <w:rPr>
          <w:rFonts w:ascii="微软雅黑" w:hAnsi="微软雅黑"/>
          <w:b w:val="0"/>
          <w:i w:val="0"/>
          <w:color w:val="333333"/>
          <w:sz w:val="21"/>
          <w:rFonts w:eastAsia="微软雅黑" w:ascii="微软雅黑" w:hAnsi="微软雅黑"/>
        </w:rPr>
        <w:t>为了将纯软件的 AI Agent 提升为具备实体感、高安全感与便捷交互的企业级生产力中枢，团队自主设计并申请了国家专利：</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40" w:type="dxa"/>
              <w:right w:w="200" w:type="dxa"/>
            </w:tcMar>
            <w:tcBorders>
              <w:top w:val="none"/>
              <w:left w:val="single" w:sz="24" w:space="0" w:color="0F4C81"/>
              <w:bottom w:val="none"/>
              <w:right w:val="none"/>
            </w:tcBorders>
          </w:tcPr>
          <w:p>
            <w:pPr>
              <w:spacing w:before="40" w:after="80" w:line="300" w:lineRule="auto"/>
            </w:pPr>
            <w:r>
              <w:rPr>
                <w:rFonts w:ascii="微软雅黑" w:hAnsi="微软雅黑"/>
                <w:b/>
                <w:i w:val="0"/>
                <w:color w:val="0F4C81"/>
                <w:sz w:val="21"/>
                <w:rFonts w:eastAsia="微软雅黑" w:ascii="微软雅黑" w:hAnsi="微软雅黑"/>
              </w:rPr>
              <w:t>【核心专利技术要点】</w:t>
              <w:br/>
            </w:r>
          </w:p>
          <w:p>
            <w:pPr>
              <w:spacing w:before="40" w:after="40" w:line="300" w:lineRule="auto"/>
            </w:pPr>
            <w:r>
              <w:rPr>
                <w:rFonts w:ascii="微软雅黑" w:hAnsi="微软雅黑"/>
                <w:b w:val="0"/>
                <w:i w:val="0"/>
                <w:color w:val="323C46"/>
                <w:sz w:val="19"/>
                <w:rFonts w:eastAsia="微软雅黑" w:ascii="微软雅黑" w:hAnsi="微软雅黑"/>
              </w:rPr>
              <w:t>专利名称：《一种基于3D打印外壳和树莓派的外置式AI桌面操作控制装置》</w:t>
            </w:r>
          </w:p>
          <w:p>
            <w:pPr>
              <w:spacing w:before="40" w:after="40" w:line="300" w:lineRule="auto"/>
            </w:pPr>
            <w:r>
              <w:rPr>
                <w:rFonts w:ascii="微软雅黑" w:hAnsi="微软雅黑"/>
                <w:b w:val="0"/>
                <w:i w:val="0"/>
                <w:color w:val="323C46"/>
                <w:sz w:val="19"/>
                <w:rFonts w:eastAsia="微软雅黑" w:ascii="微软雅黑" w:hAnsi="微软雅黑"/>
              </w:rPr>
              <w:t>专利申请号：2026211483494</w:t>
            </w:r>
          </w:p>
          <w:p>
            <w:pPr>
              <w:spacing w:before="40" w:after="40" w:line="300" w:lineRule="auto"/>
            </w:pPr>
            <w:r>
              <w:rPr>
                <w:rFonts w:ascii="微软雅黑" w:hAnsi="微软雅黑"/>
                <w:b w:val="0"/>
                <w:i w:val="0"/>
                <w:color w:val="323C46"/>
                <w:sz w:val="19"/>
                <w:rFonts w:eastAsia="微软雅黑" w:ascii="微软雅黑" w:hAnsi="微软雅黑"/>
              </w:rPr>
              <w:t>核心结构：采用树莓派微型计算机为主控芯片，结合模块化 3D 打印人体工学倾角外壳，集成了实体物理多功能旋钮、快捷执行按键、高清状态显示屏及独立边缘加密芯片。</w:t>
            </w:r>
          </w:p>
          <w:p>
            <w:pPr>
              <w:spacing w:before="40" w:after="40" w:line="300" w:lineRule="auto"/>
            </w:pPr>
            <w:r>
              <w:rPr>
                <w:rFonts w:ascii="微软雅黑" w:hAnsi="微软雅黑"/>
                <w:b w:val="0"/>
                <w:i w:val="0"/>
                <w:color w:val="323C46"/>
                <w:sz w:val="19"/>
                <w:rFonts w:eastAsia="微软雅黑" w:ascii="微软雅黑" w:hAnsi="微软雅黑"/>
              </w:rPr>
              <w:t>协同机制：通过 USB / 局域网与主机上的 SeekClaw DaemonServer 建立实时硬件级通信，物理按键可一键触发代码审查、编译构建、模式切换与紧急熔断中断。</w:t>
            </w:r>
          </w:p>
        </w:tc>
      </w:tr>
    </w:tbl>
    <w:p>
      <w:pPr>
        <w:spacing w:after="80"/>
      </w:pPr>
    </w:p>
    <w:p>
      <w:pPr>
        <w:keepNext/>
        <w:spacing w:before="240" w:after="120"/>
      </w:pPr>
      <w:r>
        <w:rPr>
          <w:rFonts w:ascii="微软雅黑" w:hAnsi="微软雅黑"/>
          <w:b/>
          <w:i w:val="0"/>
          <w:color w:val="1E5A96"/>
          <w:sz w:val="25"/>
          <w:rFonts w:eastAsia="微软雅黑" w:ascii="微软雅黑" w:hAnsi="微软雅黑"/>
        </w:rPr>
        <w:t>4.2 软硬件协同带来的独特产业价值</w:t>
      </w:r>
    </w:p>
    <w:p>
      <w:pPr>
        <w:pStyle w:val="ListBullet"/>
        <w:spacing w:before="20" w:after="60" w:line="300" w:lineRule="auto"/>
      </w:pPr>
      <w:r>
        <w:rPr>
          <w:rFonts w:ascii="微软雅黑" w:hAnsi="微软雅黑"/>
          <w:b/>
          <w:i w:val="0"/>
          <w:color w:val="1E1E1E"/>
          <w:sz w:val="20"/>
          <w:rFonts w:eastAsia="微软雅黑" w:ascii="微软雅黑" w:hAnsi="微软雅黑"/>
        </w:rPr>
        <w:t>1. 物理交互与状态感知：</w:t>
      </w:r>
      <w:r>
        <w:rPr>
          <w:rFonts w:ascii="微软雅黑" w:hAnsi="微软雅黑"/>
          <w:b w:val="0"/>
          <w:i w:val="0"/>
          <w:color w:val="333333"/>
          <w:sz w:val="20"/>
          <w:rFonts w:eastAsia="微软雅黑" w:ascii="微软雅黑" w:hAnsi="微软雅黑"/>
        </w:rPr>
        <w:t>通过实体屏幕独立显示当前 Agent 执行状态、Token 消耗速率、实时构建日志，开发者无需在主屏频繁切换窗口，大幅提升多屏研发专注度。</w:t>
      </w:r>
    </w:p>
    <w:p>
      <w:pPr>
        <w:pStyle w:val="ListBullet"/>
        <w:spacing w:before="20" w:after="60" w:line="300" w:lineRule="auto"/>
      </w:pPr>
      <w:r>
        <w:rPr>
          <w:rFonts w:ascii="微软雅黑" w:hAnsi="微软雅黑"/>
          <w:b/>
          <w:i w:val="0"/>
          <w:color w:val="1E1E1E"/>
          <w:sz w:val="20"/>
          <w:rFonts w:eastAsia="微软雅黑" w:ascii="微软雅黑" w:hAnsi="微软雅黑"/>
        </w:rPr>
        <w:t>2. 硬件级安全阻断与熔断：</w:t>
      </w:r>
      <w:r>
        <w:rPr>
          <w:rFonts w:ascii="微软雅黑" w:hAnsi="微软雅黑"/>
          <w:b w:val="0"/>
          <w:i w:val="0"/>
          <w:color w:val="333333"/>
          <w:sz w:val="20"/>
          <w:rFonts w:eastAsia="微软雅黑" w:ascii="微软雅黑" w:hAnsi="微软雅黑"/>
        </w:rPr>
        <w:t>硬件配备物理一键急停开关（Kill Switch），在 Agent 涉及删除重要文件或执行高危 Shell 指令时提供硬件级物理阻断，保障绝对的工业数据安全。</w:t>
      </w:r>
    </w:p>
    <w:p>
      <w:pPr>
        <w:pStyle w:val="ListBullet"/>
        <w:spacing w:before="20" w:after="60" w:line="300" w:lineRule="auto"/>
      </w:pPr>
      <w:r>
        <w:rPr>
          <w:rFonts w:ascii="微软雅黑" w:hAnsi="微软雅黑"/>
          <w:b/>
          <w:i w:val="0"/>
          <w:color w:val="1E1E1E"/>
          <w:sz w:val="20"/>
          <w:rFonts w:eastAsia="微软雅黑" w:ascii="微软雅黑" w:hAnsi="微软雅黑"/>
        </w:rPr>
        <w:t>3. 边缘计算与私有密钥防护：</w:t>
      </w:r>
      <w:r>
        <w:rPr>
          <w:rFonts w:ascii="微软雅黑" w:hAnsi="微软雅黑"/>
          <w:b w:val="0"/>
          <w:i w:val="0"/>
          <w:color w:val="333333"/>
          <w:sz w:val="20"/>
          <w:rFonts w:eastAsia="微软雅黑" w:ascii="微软雅黑" w:hAnsi="微软雅黑"/>
        </w:rPr>
        <w:t>树莓派主控可作为本地轻量级推理网关或密钥安全存储仓（HSM），实现 API Key 的硬件级加密存储与局域网离线调度。</w:t>
      </w:r>
    </w:p>
    <w:p>
      <w:pPr>
        <w:keepNext/>
        <w:spacing w:before="320" w:after="160"/>
      </w:pPr>
      <w:r>
        <w:rPr>
          <w:rFonts w:ascii="微软雅黑" w:hAnsi="微软雅黑"/>
          <w:b/>
          <w:i w:val="0"/>
          <w:color w:val="0F4C81"/>
          <w:sz w:val="30"/>
          <w:rFonts w:eastAsia="微软雅黑" w:ascii="微软雅黑" w:hAnsi="微软雅黑"/>
        </w:rPr>
        <w:t>第五章 商业模式与企业定制化落地（Business Model &amp; Strategy）</w:t>
      </w:r>
    </w:p>
    <w:p>
      <w:pPr>
        <w:keepNext/>
        <w:spacing w:before="240" w:after="120"/>
      </w:pPr>
      <w:r>
        <w:rPr>
          <w:rFonts w:ascii="微软雅黑" w:hAnsi="微软雅黑"/>
          <w:b/>
          <w:i w:val="0"/>
          <w:color w:val="1E5A96"/>
          <w:sz w:val="25"/>
          <w:rFonts w:eastAsia="微软雅黑" w:ascii="微软雅黑" w:hAnsi="微软雅黑"/>
        </w:rPr>
        <w:t>5.1 “开源生态 + 商业定制” 双轮驱动模型</w:t>
      </w:r>
    </w:p>
    <w:p>
      <w:pPr>
        <w:spacing w:before="40" w:after="120" w:line="312" w:lineRule="auto"/>
      </w:pPr>
      <w:r>
        <w:rPr>
          <w:rFonts w:ascii="微软雅黑" w:hAnsi="微软雅黑"/>
          <w:b w:val="0"/>
          <w:i w:val="0"/>
          <w:color w:val="333333"/>
          <w:sz w:val="21"/>
          <w:rFonts w:eastAsia="微软雅黑" w:ascii="微软雅黑" w:hAnsi="微软雅黑"/>
        </w:rPr>
        <w:t>西安花濑科技秉承“以开源聚生态、以定制创收益”的商业发展路线：</w:t>
      </w:r>
    </w:p>
    <w:p>
      <w:pPr>
        <w:pStyle w:val="ListBullet"/>
        <w:spacing w:before="20" w:after="60" w:line="300" w:lineRule="auto"/>
      </w:pPr>
      <w:r>
        <w:rPr>
          <w:rFonts w:ascii="微软雅黑" w:hAnsi="微软雅黑"/>
          <w:b/>
          <w:i w:val="0"/>
          <w:color w:val="1E1E1E"/>
          <w:sz w:val="20"/>
          <w:rFonts w:eastAsia="微软雅黑" w:ascii="微软雅黑" w:hAnsi="微软雅黑"/>
        </w:rPr>
        <w:t>• 开源社区基座（引流与品牌壁垒）：</w:t>
      </w:r>
      <w:r>
        <w:rPr>
          <w:rFonts w:ascii="微软雅黑" w:hAnsi="微软雅黑"/>
          <w:b w:val="0"/>
          <w:i w:val="0"/>
          <w:color w:val="333333"/>
          <w:sz w:val="20"/>
          <w:rFonts w:eastAsia="微软雅黑" w:ascii="微软雅黑" w:hAnsi="微软雅黑"/>
        </w:rPr>
        <w:t>核心运行时（seekclaw_runtime）及终端（seekclaw_cli）在 GitHub 等平台开源，并通过 npm 官方源（seekclaw-cli）面向全球分发，吸引全球开发者共同贡献工具生态与技能包，构筑事实上的行业技术标准。</w:t>
      </w:r>
    </w:p>
    <w:p>
      <w:pPr>
        <w:pStyle w:val="ListBullet"/>
        <w:spacing w:before="20" w:after="60" w:line="300" w:lineRule="auto"/>
      </w:pPr>
      <w:r>
        <w:rPr>
          <w:rFonts w:ascii="微软雅黑" w:hAnsi="微软雅黑"/>
          <w:b/>
          <w:i w:val="0"/>
          <w:color w:val="1E1E1E"/>
          <w:sz w:val="20"/>
          <w:rFonts w:eastAsia="微软雅黑" w:ascii="微软雅黑" w:hAnsi="微软雅黑"/>
        </w:rPr>
        <w:t>• 企业级商业化落地（高额营收与闭环）：</w:t>
      </w:r>
      <w:r>
        <w:rPr>
          <w:rFonts w:ascii="微软雅黑" w:hAnsi="微软雅黑"/>
          <w:b w:val="0"/>
          <w:i w:val="0"/>
          <w:color w:val="333333"/>
          <w:sz w:val="20"/>
          <w:rFonts w:eastAsia="微软雅黑" w:ascii="微软雅黑" w:hAnsi="微软雅黑"/>
        </w:rPr>
        <w:t>针对制造、金融、能源等行业企业，提供全套企业级专属 Agent 研发服务、私有化安全部署、企业专有工具链定制及外置物理控制台软硬一体化销售。</w:t>
      </w:r>
    </w:p>
    <w:p>
      <w:pPr>
        <w:keepNext/>
        <w:spacing w:before="240" w:after="120"/>
      </w:pPr>
      <w:r>
        <w:rPr>
          <w:rFonts w:ascii="微软雅黑" w:hAnsi="微软雅黑"/>
          <w:b/>
          <w:i w:val="0"/>
          <w:color w:val="1E5A96"/>
          <w:sz w:val="25"/>
          <w:rFonts w:eastAsia="微软雅黑" w:ascii="微软雅黑" w:hAnsi="微软雅黑"/>
        </w:rPr>
        <w:t>5.2 企业级专属 Agent 深度定制服务矩阵</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3120"/>
            <w:shd w:fill="0F4C81"/>
          </w:tcPr>
          <w:p>
            <w:pPr>
              <w:jc w:val="center"/>
            </w:pPr>
            <w:r>
              <w:rPr>
                <w:rFonts w:ascii="微软雅黑" w:hAnsi="微软雅黑"/>
                <w:b/>
                <w:i w:val="0"/>
                <w:color w:val="FFFFFF"/>
                <w:sz w:val="19"/>
                <w:rFonts w:eastAsia="微软雅黑" w:ascii="微软雅黑" w:hAnsi="微软雅黑"/>
              </w:rPr>
              <w:t>定制服务模块</w:t>
            </w:r>
          </w:p>
        </w:tc>
        <w:tc>
          <w:tcPr>
            <w:tcW w:type="dxa" w:w="3120"/>
            <w:shd w:fill="0F4C81"/>
          </w:tcPr>
          <w:p>
            <w:pPr>
              <w:jc w:val="center"/>
            </w:pPr>
            <w:r>
              <w:rPr>
                <w:rFonts w:ascii="微软雅黑" w:hAnsi="微软雅黑"/>
                <w:b/>
                <w:i w:val="0"/>
                <w:color w:val="FFFFFF"/>
                <w:sz w:val="19"/>
                <w:rFonts w:eastAsia="微软雅黑" w:ascii="微软雅黑" w:hAnsi="微软雅黑"/>
              </w:rPr>
              <w:t>定制交付核心内容</w:t>
            </w:r>
          </w:p>
        </w:tc>
        <w:tc>
          <w:tcPr>
            <w:tcW w:type="dxa" w:w="3120"/>
            <w:shd w:fill="0F4C81"/>
          </w:tcPr>
          <w:p>
            <w:pPr>
              <w:jc w:val="center"/>
            </w:pPr>
            <w:r>
              <w:rPr>
                <w:rFonts w:ascii="微软雅黑" w:hAnsi="微软雅黑"/>
                <w:b/>
                <w:i w:val="0"/>
                <w:color w:val="FFFFFF"/>
                <w:sz w:val="19"/>
                <w:rFonts w:eastAsia="微软雅黑" w:ascii="微软雅黑" w:hAnsi="微软雅黑"/>
              </w:rPr>
              <w:t>适用客户与收费模式</w:t>
            </w:r>
          </w:p>
        </w:tc>
      </w:tr>
      <w:tr>
        <w:tc>
          <w:tcPr>
            <w:tcW w:type="dxa" w:w="2880"/>
            <w:shd w:fill="F9FBFD"/>
            <w:tcMar>
              <w:top w:w="100" w:type="dxa"/>
              <w:bottom w:w="100" w:type="dxa"/>
              <w:left w:w="120" w:type="dxa"/>
              <w:right w:w="120" w:type="dxa"/>
            </w:tcMar>
          </w:tcPr>
          <w:p>
            <w:pPr>
              <w:spacing w:after="40"/>
            </w:pPr>
            <w:r>
              <w:rPr>
                <w:rFonts w:ascii="微软雅黑" w:hAnsi="微软雅黑"/>
                <w:b w:val="0"/>
                <w:i w:val="0"/>
                <w:color w:val="282828"/>
                <w:sz w:val="18"/>
                <w:rFonts w:eastAsia="微软雅黑" w:ascii="微软雅黑" w:hAnsi="微软雅黑"/>
              </w:rPr>
              <w:t>1. 企业私有代码知识库深度融合</w:t>
            </w:r>
          </w:p>
        </w:tc>
        <w:tc>
          <w:tcPr>
            <w:tcW w:type="dxa" w:w="3888"/>
            <w:shd w:fill="F9FBFD"/>
            <w:tcMar>
              <w:top w:w="100" w:type="dxa"/>
              <w:bottom w:w="100" w:type="dxa"/>
              <w:left w:w="120" w:type="dxa"/>
              <w:right w:w="120" w:type="dxa"/>
            </w:tcMar>
          </w:tcPr>
          <w:p>
            <w:pPr>
              <w:spacing w:after="40"/>
            </w:pPr>
            <w:r>
              <w:rPr>
                <w:rFonts w:ascii="微软雅黑" w:hAnsi="微软雅黑"/>
                <w:b w:val="0"/>
                <w:i w:val="0"/>
                <w:color w:val="282828"/>
                <w:sz w:val="18"/>
                <w:rFonts w:eastAsia="微软雅黑" w:ascii="微软雅黑" w:hAnsi="微软雅黑"/>
              </w:rPr>
              <w:t>深度解析企业历史百万行代码库、架构规范与接口文档，定制专有记忆注入机制与企业编码规范 Prompt 模板。</w:t>
            </w:r>
          </w:p>
        </w:tc>
        <w:tc>
          <w:tcPr>
            <w:tcW w:type="dxa" w:w="2880"/>
            <w:shd w:fill="F9FBFD"/>
            <w:tcMar>
              <w:top w:w="100" w:type="dxa"/>
              <w:bottom w:w="100" w:type="dxa"/>
              <w:left w:w="120" w:type="dxa"/>
              <w:right w:w="120" w:type="dxa"/>
            </w:tcMar>
          </w:tcPr>
          <w:p>
            <w:pPr>
              <w:spacing w:after="40"/>
            </w:pPr>
            <w:r>
              <w:rPr>
                <w:rFonts w:ascii="微软雅黑" w:hAnsi="微软雅黑"/>
                <w:b w:val="0"/>
                <w:i w:val="0"/>
                <w:color w:val="282828"/>
                <w:sz w:val="18"/>
                <w:rFonts w:eastAsia="微软雅黑" w:ascii="微软雅黑" w:hAnsi="微软雅黑"/>
              </w:rPr>
              <w:t>中大型软件研发团队 / 按项目定制费（5-15万元/次）</w:t>
            </w:r>
          </w:p>
        </w:tc>
      </w:tr>
      <w:tr>
        <w:tc>
          <w:tcPr>
            <w:tcW w:type="dxa" w:w="2880"/>
            <w:shd w:fill="FFFFFF"/>
            <w:tcMar>
              <w:top w:w="100" w:type="dxa"/>
              <w:bottom w:w="100" w:type="dxa"/>
              <w:left w:w="120" w:type="dxa"/>
              <w:right w:w="120" w:type="dxa"/>
            </w:tcMar>
          </w:tcPr>
          <w:p>
            <w:pPr>
              <w:spacing w:after="40"/>
            </w:pPr>
            <w:r>
              <w:rPr>
                <w:rFonts w:ascii="微软雅黑" w:hAnsi="微软雅黑"/>
                <w:b w:val="0"/>
                <w:i w:val="0"/>
                <w:color w:val="282828"/>
                <w:sz w:val="18"/>
                <w:rFonts w:eastAsia="微软雅黑" w:ascii="微软雅黑" w:hAnsi="微软雅黑"/>
              </w:rPr>
              <w:t>2. 专有业务工具链与 MCP 定制</w:t>
            </w:r>
          </w:p>
        </w:tc>
        <w:tc>
          <w:tcPr>
            <w:tcW w:type="dxa" w:w="3888"/>
            <w:shd w:fill="FFFFFF"/>
            <w:tcMar>
              <w:top w:w="100" w:type="dxa"/>
              <w:bottom w:w="100" w:type="dxa"/>
              <w:left w:w="120" w:type="dxa"/>
              <w:right w:w="120" w:type="dxa"/>
            </w:tcMar>
          </w:tcPr>
          <w:p>
            <w:pPr>
              <w:spacing w:after="40"/>
            </w:pPr>
            <w:r>
              <w:rPr>
                <w:rFonts w:ascii="微软雅黑" w:hAnsi="微软雅黑"/>
                <w:b w:val="0"/>
                <w:i w:val="0"/>
                <w:color w:val="282828"/>
                <w:sz w:val="18"/>
                <w:rFonts w:eastAsia="微软雅黑" w:ascii="微软雅黑" w:hAnsi="微软雅黑"/>
              </w:rPr>
              <w:t>将企业内部 GitLab、Jira、CI/CD 自动化流水线、私有数据库封装为专用 MCP Server 与安全执行工具。</w:t>
            </w:r>
          </w:p>
        </w:tc>
        <w:tc>
          <w:tcPr>
            <w:tcW w:type="dxa" w:w="2880"/>
            <w:shd w:fill="FFFFFF"/>
            <w:tcMar>
              <w:top w:w="100" w:type="dxa"/>
              <w:bottom w:w="100" w:type="dxa"/>
              <w:left w:w="120" w:type="dxa"/>
              <w:right w:w="120" w:type="dxa"/>
            </w:tcMar>
          </w:tcPr>
          <w:p>
            <w:pPr>
              <w:spacing w:after="40"/>
            </w:pPr>
            <w:r>
              <w:rPr>
                <w:rFonts w:ascii="微软雅黑" w:hAnsi="微软雅黑"/>
                <w:b w:val="0"/>
                <w:i w:val="0"/>
                <w:color w:val="282828"/>
                <w:sz w:val="18"/>
                <w:rFonts w:eastAsia="微软雅黑" w:ascii="微软雅黑" w:hAnsi="微软雅黑"/>
              </w:rPr>
              <w:t>工业制造与金融科技企业 / 定制费 + 年运维费</w:t>
            </w:r>
          </w:p>
        </w:tc>
      </w:tr>
      <w:tr>
        <w:tc>
          <w:tcPr>
            <w:tcW w:type="dxa" w:w="2880"/>
            <w:shd w:fill="F9FBFD"/>
            <w:tcMar>
              <w:top w:w="100" w:type="dxa"/>
              <w:bottom w:w="100" w:type="dxa"/>
              <w:left w:w="120" w:type="dxa"/>
              <w:right w:w="120" w:type="dxa"/>
            </w:tcMar>
          </w:tcPr>
          <w:p>
            <w:pPr>
              <w:spacing w:after="40"/>
            </w:pPr>
            <w:r>
              <w:rPr>
                <w:rFonts w:ascii="微软雅黑" w:hAnsi="微软雅黑"/>
                <w:b w:val="0"/>
                <w:i w:val="0"/>
                <w:color w:val="282828"/>
                <w:sz w:val="18"/>
                <w:rFonts w:eastAsia="微软雅黑" w:ascii="微软雅黑" w:hAnsi="微软雅黑"/>
              </w:rPr>
              <w:t>3. 软硬件一体化企业安全工作站</w:t>
            </w:r>
          </w:p>
        </w:tc>
        <w:tc>
          <w:tcPr>
            <w:tcW w:type="dxa" w:w="3888"/>
            <w:shd w:fill="F9FBFD"/>
            <w:tcMar>
              <w:top w:w="100" w:type="dxa"/>
              <w:bottom w:w="100" w:type="dxa"/>
              <w:left w:w="120" w:type="dxa"/>
              <w:right w:w="120" w:type="dxa"/>
            </w:tcMar>
          </w:tcPr>
          <w:p>
            <w:pPr>
              <w:spacing w:after="40"/>
            </w:pPr>
            <w:r>
              <w:rPr>
                <w:rFonts w:ascii="微软雅黑" w:hAnsi="微软雅黑"/>
                <w:b w:val="0"/>
                <w:i w:val="0"/>
                <w:color w:val="282828"/>
                <w:sz w:val="18"/>
                <w:rFonts w:eastAsia="微软雅黑" w:ascii="微软雅黑" w:hAnsi="微软雅黑"/>
              </w:rPr>
              <w:t>交付配备外置 AI 物理控制台（基于专利硬件）的专用开发终端，支持完全离线局域网大模型部署与物理审计。</w:t>
            </w:r>
          </w:p>
        </w:tc>
        <w:tc>
          <w:tcPr>
            <w:tcW w:type="dxa" w:w="2880"/>
            <w:shd w:fill="F9FBFD"/>
            <w:tcMar>
              <w:top w:w="100" w:type="dxa"/>
              <w:bottom w:w="100" w:type="dxa"/>
              <w:left w:w="120" w:type="dxa"/>
              <w:right w:w="120" w:type="dxa"/>
            </w:tcMar>
          </w:tcPr>
          <w:p>
            <w:pPr>
              <w:spacing w:after="40"/>
            </w:pPr>
            <w:r>
              <w:rPr>
                <w:rFonts w:ascii="微软雅黑" w:hAnsi="微软雅黑"/>
                <w:b w:val="0"/>
                <w:i w:val="0"/>
                <w:color w:val="282828"/>
                <w:sz w:val="18"/>
                <w:rFonts w:eastAsia="微软雅黑" w:ascii="微软雅黑" w:hAnsi="微软雅黑"/>
              </w:rPr>
              <w:t>涉密单位与高安全性企业 / 软硬件一体套件（2-5万元/套）</w:t>
            </w:r>
          </w:p>
        </w:tc>
      </w:tr>
    </w:tbl>
    <w:p>
      <w:pPr>
        <w:spacing w:after="120"/>
      </w:pPr>
    </w:p>
    <w:p>
      <w:pPr>
        <w:keepNext/>
        <w:spacing w:before="320" w:after="160"/>
      </w:pPr>
      <w:r>
        <w:rPr>
          <w:rFonts w:ascii="微软雅黑" w:hAnsi="微软雅黑"/>
          <w:b/>
          <w:i w:val="0"/>
          <w:color w:val="0F4C81"/>
          <w:sz w:val="30"/>
          <w:rFonts w:eastAsia="微软雅黑" w:ascii="微软雅黑" w:hAnsi="微软雅黑"/>
        </w:rPr>
        <w:t>第六章 市场分析与核心竞争壁垒（Market &amp; Competitiveness）</w:t>
      </w:r>
    </w:p>
    <w:p>
      <w:pPr>
        <w:keepNext/>
        <w:spacing w:before="240" w:after="120"/>
      </w:pPr>
      <w:r>
        <w:rPr>
          <w:rFonts w:ascii="微软雅黑" w:hAnsi="微软雅黑"/>
          <w:b/>
          <w:i w:val="0"/>
          <w:color w:val="1E5A96"/>
          <w:sz w:val="25"/>
          <w:rFonts w:eastAsia="微软雅黑" w:ascii="微软雅黑" w:hAnsi="微软雅黑"/>
        </w:rPr>
        <w:t>6.1 目标市场规模分析</w:t>
      </w:r>
    </w:p>
    <w:p>
      <w:pPr>
        <w:spacing w:before="40" w:after="120" w:line="312" w:lineRule="auto"/>
      </w:pPr>
      <w:r>
        <w:rPr>
          <w:rFonts w:ascii="微软雅黑" w:hAnsi="微软雅黑"/>
          <w:b w:val="0"/>
          <w:i w:val="0"/>
          <w:color w:val="333333"/>
          <w:sz w:val="21"/>
          <w:rFonts w:eastAsia="微软雅黑" w:ascii="微软雅黑" w:hAnsi="微软雅黑"/>
        </w:rPr>
        <w:t>• 总体有效市场（TAM）：全球及中国企业级 AI 软件研发与智能化工具市场，2026 年预计超 500 亿元人民币；</w:t>
        <w:br/>
        <w:t>• 可服务市场（SAM）：中国制造业、金融与互联网行业对安全可控、私有化 AI 编程助手的定制化需求，约 120 亿元人民币；</w:t>
        <w:br/>
        <w:t>• 可获得市场（SOM）：公司未来三年重点开拓的军工制造、软件外包与金融信息化企业客户，目标触达 500+ 家企业，预期渗透营收 3000 万- 5000 万元。</w:t>
      </w:r>
    </w:p>
    <w:p>
      <w:pPr>
        <w:keepNext/>
        <w:spacing w:before="240" w:after="120"/>
      </w:pPr>
      <w:r>
        <w:rPr>
          <w:rFonts w:ascii="微软雅黑" w:hAnsi="微软雅黑"/>
          <w:b/>
          <w:i w:val="0"/>
          <w:color w:val="1E5A96"/>
          <w:sz w:val="25"/>
          <w:rFonts w:eastAsia="微软雅黑" w:ascii="微软雅黑" w:hAnsi="微软雅黑"/>
        </w:rPr>
        <w:t>6.2 竞品对比与核心壁垒</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340"/>
        <w:gridCol w:w="2340"/>
        <w:gridCol w:w="2340"/>
        <w:gridCol w:w="2340"/>
      </w:tblGrid>
      <w:tr>
        <w:tc>
          <w:tcPr>
            <w:tcW w:type="dxa" w:w="2340"/>
            <w:shd w:fill="0F4C81"/>
          </w:tcPr>
          <w:p>
            <w:pPr>
              <w:jc w:val="center"/>
            </w:pPr>
            <w:r>
              <w:rPr>
                <w:rFonts w:ascii="微软雅黑" w:hAnsi="微软雅黑"/>
                <w:b/>
                <w:i w:val="0"/>
                <w:color w:val="FFFFFF"/>
                <w:sz w:val="18"/>
                <w:rFonts w:eastAsia="微软雅黑" w:ascii="微软雅黑" w:hAnsi="微软雅黑"/>
              </w:rPr>
              <w:t>对比维度</w:t>
            </w:r>
          </w:p>
        </w:tc>
        <w:tc>
          <w:tcPr>
            <w:tcW w:type="dxa" w:w="2340"/>
            <w:shd w:fill="0F4C81"/>
          </w:tcPr>
          <w:p>
            <w:pPr>
              <w:jc w:val="center"/>
            </w:pPr>
            <w:r>
              <w:rPr>
                <w:rFonts w:ascii="微软雅黑" w:hAnsi="微软雅黑"/>
                <w:b/>
                <w:i w:val="0"/>
                <w:color w:val="FFFFFF"/>
                <w:sz w:val="18"/>
                <w:rFonts w:eastAsia="微软雅黑" w:ascii="微软雅黑" w:hAnsi="微软雅黑"/>
              </w:rPr>
              <w:t>传统 IDE 插件 (Copilot等)</w:t>
            </w:r>
          </w:p>
        </w:tc>
        <w:tc>
          <w:tcPr>
            <w:tcW w:type="dxa" w:w="2340"/>
            <w:shd w:fill="0F4C81"/>
          </w:tcPr>
          <w:p>
            <w:pPr>
              <w:jc w:val="center"/>
            </w:pPr>
            <w:r>
              <w:rPr>
                <w:rFonts w:ascii="微软雅黑" w:hAnsi="微软雅黑"/>
                <w:b/>
                <w:i w:val="0"/>
                <w:color w:val="FFFFFF"/>
                <w:sz w:val="18"/>
                <w:rFonts w:eastAsia="微软雅黑" w:ascii="微软雅黑" w:hAnsi="微软雅黑"/>
              </w:rPr>
              <w:t>通用闭源 AI 编程工具</w:t>
            </w:r>
          </w:p>
        </w:tc>
        <w:tc>
          <w:tcPr>
            <w:tcW w:type="dxa" w:w="2340"/>
            <w:shd w:fill="0F4C81"/>
          </w:tcPr>
          <w:p>
            <w:pPr>
              <w:jc w:val="center"/>
            </w:pPr>
            <w:r>
              <w:rPr>
                <w:rFonts w:ascii="微软雅黑" w:hAnsi="微软雅黑"/>
                <w:b/>
                <w:i w:val="0"/>
                <w:color w:val="FFFFFF"/>
                <w:sz w:val="18"/>
                <w:rFonts w:eastAsia="微软雅黑" w:ascii="微软雅黑" w:hAnsi="微软雅黑"/>
              </w:rPr>
              <w:t>SeekClaw（本项目）</w:t>
            </w:r>
          </w:p>
        </w:tc>
      </w:tr>
      <w:tr>
        <w:tc>
          <w:tcPr>
            <w:tcW w:type="dxa" w:w="2016"/>
            <w:shd w:fill="F9FBFD"/>
            <w:tcMar>
              <w:top w:w="80" w:type="dxa"/>
              <w:bottom w:w="80" w:type="dxa"/>
              <w:left w:w="100" w:type="dxa"/>
              <w:right w:w="100" w:type="dxa"/>
            </w:tcMar>
          </w:tcPr>
          <w:p>
            <w:pPr>
              <w:spacing w:after="40"/>
            </w:pPr>
            <w:r>
              <w:rPr>
                <w:rFonts w:ascii="微软雅黑" w:hAnsi="微软雅黑"/>
                <w:b w:val="0"/>
                <w:i w:val="0"/>
                <w:color w:val="282828"/>
                <w:sz w:val="17"/>
                <w:rFonts w:eastAsia="微软雅黑" w:ascii="微软雅黑" w:hAnsi="微软雅黑"/>
              </w:rPr>
              <w:t>架构与生态</w:t>
            </w:r>
          </w:p>
        </w:tc>
        <w:tc>
          <w:tcPr>
            <w:tcW w:type="dxa" w:w="2592"/>
            <w:shd w:fill="F9FBFD"/>
            <w:tcMar>
              <w:top w:w="80" w:type="dxa"/>
              <w:bottom w:w="80" w:type="dxa"/>
              <w:left w:w="100" w:type="dxa"/>
              <w:right w:w="100" w:type="dxa"/>
            </w:tcMar>
          </w:tcPr>
          <w:p>
            <w:pPr>
              <w:spacing w:after="40"/>
            </w:pPr>
            <w:r>
              <w:rPr>
                <w:rFonts w:ascii="微软雅黑" w:hAnsi="微软雅黑"/>
                <w:b w:val="0"/>
                <w:i w:val="0"/>
                <w:color w:val="282828"/>
                <w:sz w:val="17"/>
                <w:rFonts w:eastAsia="微软雅黑" w:ascii="微软雅黑" w:hAnsi="微软雅黑"/>
              </w:rPr>
              <w:t>单体插件，工具扩展受限</w:t>
            </w:r>
          </w:p>
        </w:tc>
        <w:tc>
          <w:tcPr>
            <w:tcW w:type="dxa" w:w="2592"/>
            <w:shd w:fill="F9FBFD"/>
            <w:tcMar>
              <w:top w:w="80" w:type="dxa"/>
              <w:bottom w:w="80" w:type="dxa"/>
              <w:left w:w="100" w:type="dxa"/>
              <w:right w:w="100" w:type="dxa"/>
            </w:tcMar>
          </w:tcPr>
          <w:p>
            <w:pPr>
              <w:spacing w:after="40"/>
            </w:pPr>
            <w:r>
              <w:rPr>
                <w:rFonts w:ascii="微软雅黑" w:hAnsi="微软雅黑"/>
                <w:b w:val="0"/>
                <w:i w:val="0"/>
                <w:color w:val="282828"/>
                <w:sz w:val="17"/>
                <w:rFonts w:eastAsia="微软雅黑" w:ascii="微软雅黑" w:hAnsi="微软雅黑"/>
              </w:rPr>
              <w:t>闭源黑盒，专有协议</w:t>
            </w:r>
          </w:p>
        </w:tc>
        <w:tc>
          <w:tcPr>
            <w:tcW w:type="dxa" w:w="2448"/>
            <w:shd w:fill="F9FBFD"/>
            <w:tcMar>
              <w:top w:w="80" w:type="dxa"/>
              <w:bottom w:w="80" w:type="dxa"/>
              <w:left w:w="100" w:type="dxa"/>
              <w:right w:w="100" w:type="dxa"/>
            </w:tcMar>
          </w:tcPr>
          <w:p>
            <w:pPr>
              <w:spacing w:after="40"/>
            </w:pPr>
            <w:r>
              <w:rPr>
                <w:rFonts w:ascii="微软雅黑" w:hAnsi="微软雅黑"/>
                <w:b w:val="0"/>
                <w:i w:val="0"/>
                <w:color w:val="282828"/>
                <w:sz w:val="17"/>
                <w:rFonts w:eastAsia="微软雅黑" w:ascii="微软雅黑" w:hAnsi="微软雅黑"/>
              </w:rPr>
              <w:t>Runtime-First，原生支持开放 MCP 协议</w:t>
            </w:r>
          </w:p>
        </w:tc>
      </w:tr>
      <w:tr>
        <w:tc>
          <w:tcPr>
            <w:tcW w:type="dxa" w:w="2016"/>
            <w:shd w:fill="FFFFFF"/>
            <w:tcMar>
              <w:top w:w="80" w:type="dxa"/>
              <w:bottom w:w="80" w:type="dxa"/>
              <w:left w:w="100" w:type="dxa"/>
              <w:right w:w="100" w:type="dxa"/>
            </w:tcMar>
          </w:tcPr>
          <w:p>
            <w:pPr>
              <w:spacing w:after="40"/>
            </w:pPr>
            <w:r>
              <w:rPr>
                <w:rFonts w:ascii="微软雅黑" w:hAnsi="微软雅黑"/>
                <w:b w:val="0"/>
                <w:i w:val="0"/>
                <w:color w:val="282828"/>
                <w:sz w:val="17"/>
                <w:rFonts w:eastAsia="微软雅黑" w:ascii="微软雅黑" w:hAnsi="微软雅黑"/>
              </w:rPr>
              <w:t>模型自由度</w:t>
            </w:r>
          </w:p>
        </w:tc>
        <w:tc>
          <w:tcPr>
            <w:tcW w:type="dxa" w:w="2592"/>
            <w:shd w:fill="FFFFFF"/>
            <w:tcMar>
              <w:top w:w="80" w:type="dxa"/>
              <w:bottom w:w="80" w:type="dxa"/>
              <w:left w:w="100" w:type="dxa"/>
              <w:right w:w="100" w:type="dxa"/>
            </w:tcMar>
          </w:tcPr>
          <w:p>
            <w:pPr>
              <w:spacing w:after="40"/>
            </w:pPr>
            <w:r>
              <w:rPr>
                <w:rFonts w:ascii="微软雅黑" w:hAnsi="微软雅黑"/>
                <w:b w:val="0"/>
                <w:i w:val="0"/>
                <w:color w:val="282828"/>
                <w:sz w:val="17"/>
                <w:rFonts w:eastAsia="微软雅黑" w:ascii="微软雅黑" w:hAnsi="微软雅黑"/>
              </w:rPr>
              <w:t>强绑定单一模型云服务</w:t>
            </w:r>
          </w:p>
        </w:tc>
        <w:tc>
          <w:tcPr>
            <w:tcW w:type="dxa" w:w="2592"/>
            <w:shd w:fill="FFFFFF"/>
            <w:tcMar>
              <w:top w:w="80" w:type="dxa"/>
              <w:bottom w:w="80" w:type="dxa"/>
              <w:left w:w="100" w:type="dxa"/>
              <w:right w:w="100" w:type="dxa"/>
            </w:tcMar>
          </w:tcPr>
          <w:p>
            <w:pPr>
              <w:spacing w:after="40"/>
            </w:pPr>
            <w:r>
              <w:rPr>
                <w:rFonts w:ascii="微软雅黑" w:hAnsi="微软雅黑"/>
                <w:b w:val="0"/>
                <w:i w:val="0"/>
                <w:color w:val="282828"/>
                <w:sz w:val="17"/>
                <w:rFonts w:eastAsia="微软雅黑" w:ascii="微软雅黑" w:hAnsi="微软雅黑"/>
              </w:rPr>
              <w:t>无法灵活切换国产模型</w:t>
            </w:r>
          </w:p>
        </w:tc>
        <w:tc>
          <w:tcPr>
            <w:tcW w:type="dxa" w:w="2448"/>
            <w:shd w:fill="FFFFFF"/>
            <w:tcMar>
              <w:top w:w="80" w:type="dxa"/>
              <w:bottom w:w="80" w:type="dxa"/>
              <w:left w:w="100" w:type="dxa"/>
              <w:right w:w="100" w:type="dxa"/>
            </w:tcMar>
          </w:tcPr>
          <w:p>
            <w:pPr>
              <w:spacing w:after="40"/>
            </w:pPr>
            <w:r>
              <w:rPr>
                <w:rFonts w:ascii="微软雅黑" w:hAnsi="微软雅黑"/>
                <w:b w:val="0"/>
                <w:i w:val="0"/>
                <w:color w:val="282828"/>
                <w:sz w:val="17"/>
                <w:rFonts w:eastAsia="微软雅黑" w:ascii="微软雅黑" w:hAnsi="微软雅黑"/>
              </w:rPr>
              <w:t>全面兼容云端/国产/本地开源离线模型</w:t>
            </w:r>
          </w:p>
        </w:tc>
      </w:tr>
      <w:tr>
        <w:tc>
          <w:tcPr>
            <w:tcW w:type="dxa" w:w="2016"/>
            <w:shd w:fill="F9FBFD"/>
            <w:tcMar>
              <w:top w:w="80" w:type="dxa"/>
              <w:bottom w:w="80" w:type="dxa"/>
              <w:left w:w="100" w:type="dxa"/>
              <w:right w:w="100" w:type="dxa"/>
            </w:tcMar>
          </w:tcPr>
          <w:p>
            <w:pPr>
              <w:spacing w:after="40"/>
            </w:pPr>
            <w:r>
              <w:rPr>
                <w:rFonts w:ascii="微软雅黑" w:hAnsi="微软雅黑"/>
                <w:b w:val="0"/>
                <w:i w:val="0"/>
                <w:color w:val="282828"/>
                <w:sz w:val="17"/>
                <w:rFonts w:eastAsia="微软雅黑" w:ascii="微软雅黑" w:hAnsi="微软雅黑"/>
              </w:rPr>
              <w:t>自验证与修复</w:t>
            </w:r>
          </w:p>
        </w:tc>
        <w:tc>
          <w:tcPr>
            <w:tcW w:type="dxa" w:w="2592"/>
            <w:shd w:fill="F9FBFD"/>
            <w:tcMar>
              <w:top w:w="80" w:type="dxa"/>
              <w:bottom w:w="80" w:type="dxa"/>
              <w:left w:w="100" w:type="dxa"/>
              <w:right w:w="100" w:type="dxa"/>
            </w:tcMar>
          </w:tcPr>
          <w:p>
            <w:pPr>
              <w:spacing w:after="40"/>
            </w:pPr>
            <w:r>
              <w:rPr>
                <w:rFonts w:ascii="微软雅黑" w:hAnsi="微软雅黑"/>
                <w:b w:val="0"/>
                <w:i w:val="0"/>
                <w:color w:val="282828"/>
                <w:sz w:val="17"/>
                <w:rFonts w:eastAsia="微软雅黑" w:ascii="微软雅黑" w:hAnsi="微软雅黑"/>
              </w:rPr>
              <w:t>仅生成代码，无构建反馈</w:t>
            </w:r>
          </w:p>
        </w:tc>
        <w:tc>
          <w:tcPr>
            <w:tcW w:type="dxa" w:w="2592"/>
            <w:shd w:fill="F9FBFD"/>
            <w:tcMar>
              <w:top w:w="80" w:type="dxa"/>
              <w:bottom w:w="80" w:type="dxa"/>
              <w:left w:w="100" w:type="dxa"/>
              <w:right w:w="100" w:type="dxa"/>
            </w:tcMar>
          </w:tcPr>
          <w:p>
            <w:pPr>
              <w:spacing w:after="40"/>
            </w:pPr>
            <w:r>
              <w:rPr>
                <w:rFonts w:ascii="微软雅黑" w:hAnsi="微软雅黑"/>
                <w:b w:val="0"/>
                <w:i w:val="0"/>
                <w:color w:val="282828"/>
                <w:sz w:val="17"/>
                <w:rFonts w:eastAsia="微软雅黑" w:ascii="微软雅黑" w:hAnsi="微软雅黑"/>
              </w:rPr>
              <w:t>无法自动检测语法错误</w:t>
            </w:r>
          </w:p>
        </w:tc>
        <w:tc>
          <w:tcPr>
            <w:tcW w:type="dxa" w:w="2448"/>
            <w:shd w:fill="F9FBFD"/>
            <w:tcMar>
              <w:top w:w="80" w:type="dxa"/>
              <w:bottom w:w="80" w:type="dxa"/>
              <w:left w:w="100" w:type="dxa"/>
              <w:right w:w="100" w:type="dxa"/>
            </w:tcMar>
          </w:tcPr>
          <w:p>
            <w:pPr>
              <w:spacing w:after="40"/>
            </w:pPr>
            <w:r>
              <w:rPr>
                <w:rFonts w:ascii="微软雅黑" w:hAnsi="微软雅黑"/>
                <w:b w:val="0"/>
                <w:i w:val="0"/>
                <w:color w:val="282828"/>
                <w:sz w:val="17"/>
                <w:rFonts w:eastAsia="微软雅黑" w:ascii="微软雅黑" w:hAnsi="微软雅黑"/>
              </w:rPr>
              <w:t>BuildVerifier 自动构建-报错-多轮自修复</w:t>
            </w:r>
          </w:p>
        </w:tc>
      </w:tr>
      <w:tr>
        <w:tc>
          <w:tcPr>
            <w:tcW w:type="dxa" w:w="2016"/>
            <w:shd w:fill="FFFFFF"/>
            <w:tcMar>
              <w:top w:w="80" w:type="dxa"/>
              <w:bottom w:w="80" w:type="dxa"/>
              <w:left w:w="100" w:type="dxa"/>
              <w:right w:w="100" w:type="dxa"/>
            </w:tcMar>
          </w:tcPr>
          <w:p>
            <w:pPr>
              <w:spacing w:after="40"/>
            </w:pPr>
            <w:r>
              <w:rPr>
                <w:rFonts w:ascii="微软雅黑" w:hAnsi="微软雅黑"/>
                <w:b w:val="0"/>
                <w:i w:val="0"/>
                <w:color w:val="282828"/>
                <w:sz w:val="17"/>
                <w:rFonts w:eastAsia="微软雅黑" w:ascii="微软雅黑" w:hAnsi="微软雅黑"/>
              </w:rPr>
              <w:t>软硬件协同</w:t>
            </w:r>
          </w:p>
        </w:tc>
        <w:tc>
          <w:tcPr>
            <w:tcW w:type="dxa" w:w="2592"/>
            <w:shd w:fill="FFFFFF"/>
            <w:tcMar>
              <w:top w:w="80" w:type="dxa"/>
              <w:bottom w:w="80" w:type="dxa"/>
              <w:left w:w="100" w:type="dxa"/>
              <w:right w:w="100" w:type="dxa"/>
            </w:tcMar>
          </w:tcPr>
          <w:p>
            <w:pPr>
              <w:spacing w:after="40"/>
            </w:pPr>
            <w:r>
              <w:rPr>
                <w:rFonts w:ascii="微软雅黑" w:hAnsi="微软雅黑"/>
                <w:b w:val="0"/>
                <w:i w:val="0"/>
                <w:color w:val="282828"/>
                <w:sz w:val="17"/>
                <w:rFonts w:eastAsia="微软雅黑" w:ascii="微软雅黑" w:hAnsi="微软雅黑"/>
              </w:rPr>
              <w:t>纯软件，无物理交互</w:t>
            </w:r>
          </w:p>
        </w:tc>
        <w:tc>
          <w:tcPr>
            <w:tcW w:type="dxa" w:w="2592"/>
            <w:shd w:fill="FFFFFF"/>
            <w:tcMar>
              <w:top w:w="80" w:type="dxa"/>
              <w:bottom w:w="80" w:type="dxa"/>
              <w:left w:w="100" w:type="dxa"/>
              <w:right w:w="100" w:type="dxa"/>
            </w:tcMar>
          </w:tcPr>
          <w:p>
            <w:pPr>
              <w:spacing w:after="40"/>
            </w:pPr>
            <w:r>
              <w:rPr>
                <w:rFonts w:ascii="微软雅黑" w:hAnsi="微软雅黑"/>
                <w:b w:val="0"/>
                <w:i w:val="0"/>
                <w:color w:val="282828"/>
                <w:sz w:val="17"/>
                <w:rFonts w:eastAsia="微软雅黑" w:ascii="微软雅黑" w:hAnsi="微软雅黑"/>
              </w:rPr>
              <w:t>纯软件无硬件防护</w:t>
            </w:r>
          </w:p>
        </w:tc>
        <w:tc>
          <w:tcPr>
            <w:tcW w:type="dxa" w:w="2448"/>
            <w:shd w:fill="FFFFFF"/>
            <w:tcMar>
              <w:top w:w="80" w:type="dxa"/>
              <w:bottom w:w="80" w:type="dxa"/>
              <w:left w:w="100" w:type="dxa"/>
              <w:right w:w="100" w:type="dxa"/>
            </w:tcMar>
          </w:tcPr>
          <w:p>
            <w:pPr>
              <w:spacing w:after="40"/>
            </w:pPr>
            <w:r>
              <w:rPr>
                <w:rFonts w:ascii="微软雅黑" w:hAnsi="微软雅黑"/>
                <w:b w:val="0"/>
                <w:i w:val="0"/>
                <w:color w:val="282828"/>
                <w:sz w:val="17"/>
                <w:rFonts w:eastAsia="微软雅黑" w:ascii="微软雅黑" w:hAnsi="微软雅黑"/>
              </w:rPr>
              <w:t>基于树莓派专利外置控制台，软硬协同防护</w:t>
            </w:r>
          </w:p>
        </w:tc>
      </w:tr>
    </w:tbl>
    <w:p>
      <w:pPr>
        <w:spacing w:after="120"/>
      </w:pPr>
    </w:p>
    <w:p>
      <w:pPr>
        <w:keepNext/>
        <w:spacing w:before="320" w:after="160"/>
      </w:pPr>
      <w:r>
        <w:rPr>
          <w:rFonts w:ascii="微软雅黑" w:hAnsi="微软雅黑"/>
          <w:b/>
          <w:i w:val="0"/>
          <w:color w:val="0F4C81"/>
          <w:sz w:val="30"/>
          <w:rFonts w:eastAsia="微软雅黑" w:ascii="微软雅黑" w:hAnsi="微软雅黑"/>
        </w:rPr>
        <w:t>第七章 公司治理与发展规划（Company &amp; Roadmap）</w:t>
      </w:r>
    </w:p>
    <w:p>
      <w:pPr>
        <w:keepNext/>
        <w:spacing w:before="240" w:after="120"/>
      </w:pPr>
      <w:r>
        <w:rPr>
          <w:rFonts w:ascii="微软雅黑" w:hAnsi="微软雅黑"/>
          <w:b/>
          <w:i w:val="0"/>
          <w:color w:val="1E5A96"/>
          <w:sz w:val="25"/>
          <w:rFonts w:eastAsia="微软雅黑" w:ascii="微软雅黑" w:hAnsi="微软雅黑"/>
        </w:rPr>
        <w:t>7.1 公司概况与团队架构</w:t>
      </w:r>
    </w:p>
    <w:p>
      <w:pPr>
        <w:spacing w:before="40" w:after="120" w:line="312" w:lineRule="auto"/>
      </w:pPr>
      <w:r>
        <w:rPr>
          <w:rFonts w:ascii="微软雅黑" w:hAnsi="微软雅黑"/>
          <w:b w:val="0"/>
          <w:i w:val="0"/>
          <w:color w:val="333333"/>
          <w:sz w:val="21"/>
          <w:rFonts w:eastAsia="微软雅黑" w:ascii="微软雅黑" w:hAnsi="微软雅黑"/>
        </w:rPr>
        <w:t>西安花濑科技有限责任公司（花濑 HoiLai）成立于 2025 年 12 月 15 日，法定代表人张子健（创始人）。公司注册资本 100 万元人民币，专注于高性能人工智能系统底层架构研发与企业级智能体解决方案落地。团队核心成员具备扎实的系统级编程（.NET / C# / TypeScript / Rust / Python）、嵌入式硬件开发及大模型工程化落地经验。</w:t>
      </w:r>
    </w:p>
    <w:p>
      <w:pPr>
        <w:keepNext/>
        <w:spacing w:before="240" w:after="120"/>
      </w:pPr>
      <w:r>
        <w:rPr>
          <w:rFonts w:ascii="微软雅黑" w:hAnsi="微软雅黑"/>
          <w:b/>
          <w:i w:val="0"/>
          <w:color w:val="1E5A96"/>
          <w:sz w:val="25"/>
          <w:rFonts w:eastAsia="微软雅黑" w:ascii="微软雅黑" w:hAnsi="微软雅黑"/>
        </w:rPr>
        <w:t>7.2 三年发展战略规划</w:t>
      </w:r>
    </w:p>
    <w:p>
      <w:pPr>
        <w:pStyle w:val="ListBullet"/>
        <w:spacing w:before="20" w:after="60" w:line="300" w:lineRule="auto"/>
      </w:pPr>
      <w:r>
        <w:rPr>
          <w:rFonts w:ascii="微软雅黑" w:hAnsi="微软雅黑"/>
          <w:b/>
          <w:i w:val="0"/>
          <w:color w:val="1E1E1E"/>
          <w:sz w:val="20"/>
          <w:rFonts w:eastAsia="微软雅黑" w:ascii="微软雅黑" w:hAnsi="微软雅黑"/>
        </w:rPr>
        <w:t>• 2026 年度（生态沉淀与种子客户期）：</w:t>
      </w:r>
      <w:r>
        <w:rPr>
          <w:rFonts w:ascii="微软雅黑" w:hAnsi="微软雅黑"/>
          <w:b w:val="0"/>
          <w:i w:val="0"/>
          <w:color w:val="333333"/>
          <w:sz w:val="20"/>
          <w:rFonts w:eastAsia="微软雅黑" w:ascii="微软雅黑" w:hAnsi="微软雅黑"/>
        </w:rPr>
        <w:t>完成产品中试熟化与全网宣发，扩展 GitHub 开源社区开发者生态，完成首批 10-15 家示范企业专属 Agent 定制与私有化落地，实现商业营收突破 100 万元。</w:t>
      </w:r>
    </w:p>
    <w:p>
      <w:pPr>
        <w:pStyle w:val="ListBullet"/>
        <w:spacing w:before="20" w:after="60" w:line="300" w:lineRule="auto"/>
      </w:pPr>
      <w:r>
        <w:rPr>
          <w:rFonts w:ascii="微软雅黑" w:hAnsi="微软雅黑"/>
          <w:b/>
          <w:i w:val="0"/>
          <w:color w:val="1E1E1E"/>
          <w:sz w:val="20"/>
          <w:rFonts w:eastAsia="微软雅黑" w:ascii="微软雅黑" w:hAnsi="微软雅黑"/>
        </w:rPr>
        <w:t>• 2027 年度（规模化复制与渠道扩张期）：</w:t>
      </w:r>
      <w:r>
        <w:rPr>
          <w:rFonts w:ascii="微软雅黑" w:hAnsi="微软雅黑"/>
          <w:b w:val="0"/>
          <w:i w:val="0"/>
          <w:color w:val="333333"/>
          <w:sz w:val="20"/>
          <w:rFonts w:eastAsia="微软雅黑" w:ascii="微软雅黑" w:hAnsi="微软雅黑"/>
        </w:rPr>
        <w:t>推出外置控制台（树莓派 3D 打印套件）的标准化量产版本，联合 3-5 家行业头部软件与工业集成商，拓展企业定制客户突破 80 家，年营收达到 600 万元。</w:t>
      </w:r>
    </w:p>
    <w:p>
      <w:pPr>
        <w:pStyle w:val="ListBullet"/>
        <w:spacing w:before="20" w:after="60" w:line="300" w:lineRule="auto"/>
      </w:pPr>
      <w:r>
        <w:rPr>
          <w:rFonts w:ascii="微软雅黑" w:hAnsi="微软雅黑"/>
          <w:b/>
          <w:i w:val="0"/>
          <w:color w:val="1E1E1E"/>
          <w:sz w:val="20"/>
          <w:rFonts w:eastAsia="微软雅黑" w:ascii="微软雅黑" w:hAnsi="微软雅黑"/>
        </w:rPr>
        <w:t>• 2028 年度（平台化演进与行业领军期）：</w:t>
      </w:r>
      <w:r>
        <w:rPr>
          <w:rFonts w:ascii="微软雅黑" w:hAnsi="微软雅黑"/>
          <w:b w:val="0"/>
          <w:i w:val="0"/>
          <w:color w:val="333333"/>
          <w:sz w:val="20"/>
          <w:rFonts w:eastAsia="微软雅黑" w:ascii="微软雅黑" w:hAnsi="微软雅黑"/>
        </w:rPr>
        <w:t>打造中国领先的工业级智能体运行时标准与应用开发平台，推出云端协同的多 Agent 企业研发集群中台，服务企业客户超 300 家，年营收迈向 2000 万元大关。</w:t>
      </w:r>
    </w:p>
    <w:p>
      <w:pPr>
        <w:keepNext/>
        <w:spacing w:before="320" w:after="160"/>
      </w:pPr>
      <w:r>
        <w:rPr>
          <w:rFonts w:ascii="微软雅黑" w:hAnsi="微软雅黑"/>
          <w:b/>
          <w:i w:val="0"/>
          <w:color w:val="0F4C81"/>
          <w:sz w:val="30"/>
          <w:rFonts w:eastAsia="微软雅黑" w:ascii="微软雅黑" w:hAnsi="微软雅黑"/>
        </w:rPr>
        <w:t>第八章 财务预测与融资转化需求（Financials &amp; Requirements）</w:t>
      </w:r>
    </w:p>
    <w:p>
      <w:pPr>
        <w:keepNext/>
        <w:spacing w:before="240" w:after="120"/>
      </w:pPr>
      <w:r>
        <w:rPr>
          <w:rFonts w:ascii="微软雅黑" w:hAnsi="微软雅黑"/>
          <w:b/>
          <w:i w:val="0"/>
          <w:color w:val="1E5A96"/>
          <w:sz w:val="25"/>
          <w:rFonts w:eastAsia="微软雅黑" w:ascii="微软雅黑" w:hAnsi="微软雅黑"/>
        </w:rPr>
        <w:t>8.1 未来三年财务收支预测（单位：万元人民币）</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340"/>
        <w:gridCol w:w="2340"/>
        <w:gridCol w:w="2340"/>
        <w:gridCol w:w="2340"/>
      </w:tblGrid>
      <w:tr>
        <w:tc>
          <w:tcPr>
            <w:tcW w:type="dxa" w:w="2340"/>
            <w:shd w:fill="0F4C81"/>
          </w:tcPr>
          <w:p>
            <w:pPr>
              <w:jc w:val="center"/>
            </w:pPr>
            <w:r>
              <w:rPr>
                <w:rFonts w:ascii="微软雅黑" w:hAnsi="微软雅黑"/>
                <w:b/>
                <w:i w:val="0"/>
                <w:color w:val="FFFFFF"/>
                <w:sz w:val="19"/>
                <w:rFonts w:eastAsia="微软雅黑" w:ascii="微软雅黑" w:hAnsi="微软雅黑"/>
              </w:rPr>
              <w:t>财务预测指标</w:t>
            </w:r>
          </w:p>
        </w:tc>
        <w:tc>
          <w:tcPr>
            <w:tcW w:type="dxa" w:w="2340"/>
            <w:shd w:fill="0F4C81"/>
          </w:tcPr>
          <w:p>
            <w:pPr>
              <w:jc w:val="center"/>
            </w:pPr>
            <w:r>
              <w:rPr>
                <w:rFonts w:ascii="微软雅黑" w:hAnsi="微软雅黑"/>
                <w:b/>
                <w:i w:val="0"/>
                <w:color w:val="FFFFFF"/>
                <w:sz w:val="19"/>
                <w:rFonts w:eastAsia="微软雅黑" w:ascii="微软雅黑" w:hAnsi="微软雅黑"/>
              </w:rPr>
              <w:t>2026年（第一年）</w:t>
            </w:r>
          </w:p>
        </w:tc>
        <w:tc>
          <w:tcPr>
            <w:tcW w:type="dxa" w:w="2340"/>
            <w:shd w:fill="0F4C81"/>
          </w:tcPr>
          <w:p>
            <w:pPr>
              <w:jc w:val="center"/>
            </w:pPr>
            <w:r>
              <w:rPr>
                <w:rFonts w:ascii="微软雅黑" w:hAnsi="微软雅黑"/>
                <w:b/>
                <w:i w:val="0"/>
                <w:color w:val="FFFFFF"/>
                <w:sz w:val="19"/>
                <w:rFonts w:eastAsia="微软雅黑" w:ascii="微软雅黑" w:hAnsi="微软雅黑"/>
              </w:rPr>
              <w:t>2027年（第二年）</w:t>
            </w:r>
          </w:p>
        </w:tc>
        <w:tc>
          <w:tcPr>
            <w:tcW w:type="dxa" w:w="2340"/>
            <w:shd w:fill="0F4C81"/>
          </w:tcPr>
          <w:p>
            <w:pPr>
              <w:jc w:val="center"/>
            </w:pPr>
            <w:r>
              <w:rPr>
                <w:rFonts w:ascii="微软雅黑" w:hAnsi="微软雅黑"/>
                <w:b/>
                <w:i w:val="0"/>
                <w:color w:val="FFFFFF"/>
                <w:sz w:val="19"/>
                <w:rFonts w:eastAsia="微软雅黑" w:ascii="微软雅黑" w:hAnsi="微软雅黑"/>
              </w:rPr>
              <w:t>2028年（第三年）</w:t>
            </w:r>
          </w:p>
        </w:tc>
      </w:tr>
      <w:tr>
        <w:tc>
          <w:tcPr>
            <w:tcW w:type="dxa" w:w="3168"/>
            <w:shd w:fill="F9FBFD"/>
            <w:tcMar>
              <w:top w:w="100" w:type="dxa"/>
              <w:bottom w:w="100" w:type="dxa"/>
              <w:left w:w="120" w:type="dxa"/>
              <w:right w:w="120" w:type="dxa"/>
            </w:tcMar>
          </w:tcPr>
          <w:p>
            <w:pPr>
              <w:spacing w:after="40"/>
              <w:jc w:val="left"/>
            </w:pPr>
            <w:r>
              <w:rPr>
                <w:rFonts w:ascii="微软雅黑" w:hAnsi="微软雅黑"/>
                <w:b w:val="0"/>
                <w:i w:val="0"/>
                <w:color w:val="1E1E1E"/>
                <w:sz w:val="18"/>
                <w:rFonts w:eastAsia="微软雅黑" w:ascii="微软雅黑" w:hAnsi="微软雅黑"/>
              </w:rPr>
              <w:t>企业专属定制及软件收入</w:t>
            </w:r>
          </w:p>
        </w:tc>
        <w:tc>
          <w:tcPr>
            <w:tcW w:type="dxa" w:w="2160"/>
            <w:shd w:fill="F9FBFD"/>
            <w:tcMar>
              <w:top w:w="100" w:type="dxa"/>
              <w:bottom w:w="100" w:type="dxa"/>
              <w:left w:w="120" w:type="dxa"/>
              <w:right w:w="120" w:type="dxa"/>
            </w:tcMar>
          </w:tcPr>
          <w:p>
            <w:pPr>
              <w:spacing w:after="40"/>
              <w:jc w:val="right"/>
            </w:pPr>
            <w:r>
              <w:rPr>
                <w:rFonts w:ascii="微软雅黑" w:hAnsi="微软雅黑"/>
                <w:b w:val="0"/>
                <w:i w:val="0"/>
                <w:color w:val="1E1E1E"/>
                <w:sz w:val="18"/>
                <w:rFonts w:eastAsia="微软雅黑" w:ascii="微软雅黑" w:hAnsi="微软雅黑"/>
              </w:rPr>
              <w:t>80 万元</w:t>
            </w:r>
          </w:p>
        </w:tc>
        <w:tc>
          <w:tcPr>
            <w:tcW w:type="dxa" w:w="2160"/>
            <w:shd w:fill="F9FBFD"/>
            <w:tcMar>
              <w:top w:w="100" w:type="dxa"/>
              <w:bottom w:w="100" w:type="dxa"/>
              <w:left w:w="120" w:type="dxa"/>
              <w:right w:w="120" w:type="dxa"/>
            </w:tcMar>
          </w:tcPr>
          <w:p>
            <w:pPr>
              <w:spacing w:after="40"/>
              <w:jc w:val="right"/>
            </w:pPr>
            <w:r>
              <w:rPr>
                <w:rFonts w:ascii="微软雅黑" w:hAnsi="微软雅黑"/>
                <w:b w:val="0"/>
                <w:i w:val="0"/>
                <w:color w:val="1E1E1E"/>
                <w:sz w:val="18"/>
                <w:rFonts w:eastAsia="微软雅黑" w:ascii="微软雅黑" w:hAnsi="微软雅黑"/>
              </w:rPr>
              <w:t>450 万元</w:t>
            </w:r>
          </w:p>
        </w:tc>
        <w:tc>
          <w:tcPr>
            <w:tcW w:type="dxa" w:w="2160"/>
            <w:shd w:fill="F9FBFD"/>
            <w:tcMar>
              <w:top w:w="100" w:type="dxa"/>
              <w:bottom w:w="100" w:type="dxa"/>
              <w:left w:w="120" w:type="dxa"/>
              <w:right w:w="120" w:type="dxa"/>
            </w:tcMar>
          </w:tcPr>
          <w:p>
            <w:pPr>
              <w:spacing w:after="40"/>
              <w:jc w:val="right"/>
            </w:pPr>
            <w:r>
              <w:rPr>
                <w:rFonts w:ascii="微软雅黑" w:hAnsi="微软雅黑"/>
                <w:b w:val="0"/>
                <w:i w:val="0"/>
                <w:color w:val="1E1E1E"/>
                <w:sz w:val="18"/>
                <w:rFonts w:eastAsia="微软雅黑" w:ascii="微软雅黑" w:hAnsi="微软雅黑"/>
              </w:rPr>
              <w:t>1500 万元</w:t>
            </w:r>
          </w:p>
        </w:tc>
      </w:tr>
      <w:tr>
        <w:tc>
          <w:tcPr>
            <w:tcW w:type="dxa" w:w="3168"/>
            <w:shd w:fill="FFFFFF"/>
            <w:tcMar>
              <w:top w:w="100" w:type="dxa"/>
              <w:bottom w:w="100" w:type="dxa"/>
              <w:left w:w="120" w:type="dxa"/>
              <w:right w:w="120" w:type="dxa"/>
            </w:tcMar>
          </w:tcPr>
          <w:p>
            <w:pPr>
              <w:spacing w:after="40"/>
              <w:jc w:val="left"/>
            </w:pPr>
            <w:r>
              <w:rPr>
                <w:rFonts w:ascii="微软雅黑" w:hAnsi="微软雅黑"/>
                <w:b w:val="0"/>
                <w:i w:val="0"/>
                <w:color w:val="1E1E1E"/>
                <w:sz w:val="18"/>
                <w:rFonts w:eastAsia="微软雅黑" w:ascii="微软雅黑" w:hAnsi="微软雅黑"/>
              </w:rPr>
              <w:t>软硬件一体控制套件销售</w:t>
            </w:r>
          </w:p>
        </w:tc>
        <w:tc>
          <w:tcPr>
            <w:tcW w:type="dxa" w:w="2160"/>
            <w:shd w:fill="FFFFFF"/>
            <w:tcMar>
              <w:top w:w="100" w:type="dxa"/>
              <w:bottom w:w="100" w:type="dxa"/>
              <w:left w:w="120" w:type="dxa"/>
              <w:right w:w="120" w:type="dxa"/>
            </w:tcMar>
          </w:tcPr>
          <w:p>
            <w:pPr>
              <w:spacing w:after="40"/>
              <w:jc w:val="right"/>
            </w:pPr>
            <w:r>
              <w:rPr>
                <w:rFonts w:ascii="微软雅黑" w:hAnsi="微软雅黑"/>
                <w:b w:val="0"/>
                <w:i w:val="0"/>
                <w:color w:val="1E1E1E"/>
                <w:sz w:val="18"/>
                <w:rFonts w:eastAsia="微软雅黑" w:ascii="微软雅黑" w:hAnsi="微软雅黑"/>
              </w:rPr>
              <w:t>30 万元</w:t>
            </w:r>
          </w:p>
        </w:tc>
        <w:tc>
          <w:tcPr>
            <w:tcW w:type="dxa" w:w="2160"/>
            <w:shd w:fill="FFFFFF"/>
            <w:tcMar>
              <w:top w:w="100" w:type="dxa"/>
              <w:bottom w:w="100" w:type="dxa"/>
              <w:left w:w="120" w:type="dxa"/>
              <w:right w:w="120" w:type="dxa"/>
            </w:tcMar>
          </w:tcPr>
          <w:p>
            <w:pPr>
              <w:spacing w:after="40"/>
              <w:jc w:val="right"/>
            </w:pPr>
            <w:r>
              <w:rPr>
                <w:rFonts w:ascii="微软雅黑" w:hAnsi="微软雅黑"/>
                <w:b w:val="0"/>
                <w:i w:val="0"/>
                <w:color w:val="1E1E1E"/>
                <w:sz w:val="18"/>
                <w:rFonts w:eastAsia="微软雅黑" w:ascii="微软雅黑" w:hAnsi="微软雅黑"/>
              </w:rPr>
              <w:t>150 万元</w:t>
            </w:r>
          </w:p>
        </w:tc>
        <w:tc>
          <w:tcPr>
            <w:tcW w:type="dxa" w:w="2160"/>
            <w:shd w:fill="FFFFFF"/>
            <w:tcMar>
              <w:top w:w="100" w:type="dxa"/>
              <w:bottom w:w="100" w:type="dxa"/>
              <w:left w:w="120" w:type="dxa"/>
              <w:right w:w="120" w:type="dxa"/>
            </w:tcMar>
          </w:tcPr>
          <w:p>
            <w:pPr>
              <w:spacing w:after="40"/>
              <w:jc w:val="right"/>
            </w:pPr>
            <w:r>
              <w:rPr>
                <w:rFonts w:ascii="微软雅黑" w:hAnsi="微软雅黑"/>
                <w:b w:val="0"/>
                <w:i w:val="0"/>
                <w:color w:val="1E1E1E"/>
                <w:sz w:val="18"/>
                <w:rFonts w:eastAsia="微软雅黑" w:ascii="微软雅黑" w:hAnsi="微软雅黑"/>
              </w:rPr>
              <w:t>500 万元</w:t>
            </w:r>
          </w:p>
        </w:tc>
      </w:tr>
      <w:tr>
        <w:tc>
          <w:tcPr>
            <w:tcW w:type="dxa" w:w="3168"/>
            <w:shd w:fill="F9FBFD"/>
            <w:tcMar>
              <w:top w:w="100" w:type="dxa"/>
              <w:bottom w:w="100" w:type="dxa"/>
              <w:left w:w="120" w:type="dxa"/>
              <w:right w:w="120" w:type="dxa"/>
            </w:tcMar>
          </w:tcPr>
          <w:p>
            <w:pPr>
              <w:spacing w:after="40"/>
              <w:jc w:val="left"/>
            </w:pPr>
            <w:r>
              <w:rPr>
                <w:rFonts w:ascii="微软雅黑" w:hAnsi="微软雅黑"/>
                <w:b/>
                <w:i w:val="0"/>
                <w:color w:val="1E1E1E"/>
                <w:sz w:val="18"/>
                <w:rFonts w:eastAsia="微软雅黑" w:ascii="微软雅黑" w:hAnsi="微软雅黑"/>
              </w:rPr>
              <w:t>年营业总收入（Revenue）</w:t>
            </w:r>
          </w:p>
        </w:tc>
        <w:tc>
          <w:tcPr>
            <w:tcW w:type="dxa" w:w="2160"/>
            <w:shd w:fill="F9FBFD"/>
            <w:tcMar>
              <w:top w:w="100" w:type="dxa"/>
              <w:bottom w:w="100" w:type="dxa"/>
              <w:left w:w="120" w:type="dxa"/>
              <w:right w:w="120" w:type="dxa"/>
            </w:tcMar>
          </w:tcPr>
          <w:p>
            <w:pPr>
              <w:spacing w:after="40"/>
              <w:jc w:val="right"/>
            </w:pPr>
            <w:r>
              <w:rPr>
                <w:rFonts w:ascii="微软雅黑" w:hAnsi="微软雅黑"/>
                <w:b/>
                <w:i w:val="0"/>
                <w:color w:val="1E1E1E"/>
                <w:sz w:val="18"/>
                <w:rFonts w:eastAsia="微软雅黑" w:ascii="微软雅黑" w:hAnsi="微软雅黑"/>
              </w:rPr>
              <w:t>110 万元</w:t>
            </w:r>
          </w:p>
        </w:tc>
        <w:tc>
          <w:tcPr>
            <w:tcW w:type="dxa" w:w="2160"/>
            <w:shd w:fill="F9FBFD"/>
            <w:tcMar>
              <w:top w:w="100" w:type="dxa"/>
              <w:bottom w:w="100" w:type="dxa"/>
              <w:left w:w="120" w:type="dxa"/>
              <w:right w:w="120" w:type="dxa"/>
            </w:tcMar>
          </w:tcPr>
          <w:p>
            <w:pPr>
              <w:spacing w:after="40"/>
              <w:jc w:val="right"/>
            </w:pPr>
            <w:r>
              <w:rPr>
                <w:rFonts w:ascii="微软雅黑" w:hAnsi="微软雅黑"/>
                <w:b/>
                <w:i w:val="0"/>
                <w:color w:val="1E1E1E"/>
                <w:sz w:val="18"/>
                <w:rFonts w:eastAsia="微软雅黑" w:ascii="微软雅黑" w:hAnsi="微软雅黑"/>
              </w:rPr>
              <w:t>600 万元</w:t>
            </w:r>
          </w:p>
        </w:tc>
        <w:tc>
          <w:tcPr>
            <w:tcW w:type="dxa" w:w="2160"/>
            <w:shd w:fill="F9FBFD"/>
            <w:tcMar>
              <w:top w:w="100" w:type="dxa"/>
              <w:bottom w:w="100" w:type="dxa"/>
              <w:left w:w="120" w:type="dxa"/>
              <w:right w:w="120" w:type="dxa"/>
            </w:tcMar>
          </w:tcPr>
          <w:p>
            <w:pPr>
              <w:spacing w:after="40"/>
              <w:jc w:val="right"/>
            </w:pPr>
            <w:r>
              <w:rPr>
                <w:rFonts w:ascii="微软雅黑" w:hAnsi="微软雅黑"/>
                <w:b/>
                <w:i w:val="0"/>
                <w:color w:val="1E1E1E"/>
                <w:sz w:val="18"/>
                <w:rFonts w:eastAsia="微软雅黑" w:ascii="微软雅黑" w:hAnsi="微软雅黑"/>
              </w:rPr>
              <w:t>2000 万元</w:t>
            </w:r>
          </w:p>
        </w:tc>
      </w:tr>
      <w:tr>
        <w:tc>
          <w:tcPr>
            <w:tcW w:type="dxa" w:w="3168"/>
            <w:shd w:fill="FFFFFF"/>
            <w:tcMar>
              <w:top w:w="100" w:type="dxa"/>
              <w:bottom w:w="100" w:type="dxa"/>
              <w:left w:w="120" w:type="dxa"/>
              <w:right w:w="120" w:type="dxa"/>
            </w:tcMar>
          </w:tcPr>
          <w:p>
            <w:pPr>
              <w:spacing w:after="40"/>
              <w:jc w:val="left"/>
            </w:pPr>
            <w:r>
              <w:rPr>
                <w:rFonts w:ascii="微软雅黑" w:hAnsi="微软雅黑"/>
                <w:b w:val="0"/>
                <w:i w:val="0"/>
                <w:color w:val="1E1E1E"/>
                <w:sz w:val="18"/>
                <w:rFonts w:eastAsia="微软雅黑" w:ascii="微软雅黑" w:hAnsi="微软雅黑"/>
              </w:rPr>
              <w:t>研发、硬件与运营总成本</w:t>
            </w:r>
          </w:p>
        </w:tc>
        <w:tc>
          <w:tcPr>
            <w:tcW w:type="dxa" w:w="2160"/>
            <w:shd w:fill="FFFFFF"/>
            <w:tcMar>
              <w:top w:w="100" w:type="dxa"/>
              <w:bottom w:w="100" w:type="dxa"/>
              <w:left w:w="120" w:type="dxa"/>
              <w:right w:w="120" w:type="dxa"/>
            </w:tcMar>
          </w:tcPr>
          <w:p>
            <w:pPr>
              <w:spacing w:after="40"/>
              <w:jc w:val="right"/>
            </w:pPr>
            <w:r>
              <w:rPr>
                <w:rFonts w:ascii="微软雅黑" w:hAnsi="微软雅黑"/>
                <w:b w:val="0"/>
                <w:i w:val="0"/>
                <w:color w:val="1E1E1E"/>
                <w:sz w:val="18"/>
                <w:rFonts w:eastAsia="微软雅黑" w:ascii="微软雅黑" w:hAnsi="微软雅黑"/>
              </w:rPr>
              <w:t>85 万元</w:t>
            </w:r>
          </w:p>
        </w:tc>
        <w:tc>
          <w:tcPr>
            <w:tcW w:type="dxa" w:w="2160"/>
            <w:shd w:fill="FFFFFF"/>
            <w:tcMar>
              <w:top w:w="100" w:type="dxa"/>
              <w:bottom w:w="100" w:type="dxa"/>
              <w:left w:w="120" w:type="dxa"/>
              <w:right w:w="120" w:type="dxa"/>
            </w:tcMar>
          </w:tcPr>
          <w:p>
            <w:pPr>
              <w:spacing w:after="40"/>
              <w:jc w:val="right"/>
            </w:pPr>
            <w:r>
              <w:rPr>
                <w:rFonts w:ascii="微软雅黑" w:hAnsi="微软雅黑"/>
                <w:b w:val="0"/>
                <w:i w:val="0"/>
                <w:color w:val="1E1E1E"/>
                <w:sz w:val="18"/>
                <w:rFonts w:eastAsia="微软雅黑" w:ascii="微软雅黑" w:hAnsi="微软雅黑"/>
              </w:rPr>
              <w:t>360 万元</w:t>
            </w:r>
          </w:p>
        </w:tc>
        <w:tc>
          <w:tcPr>
            <w:tcW w:type="dxa" w:w="2160"/>
            <w:shd w:fill="FFFFFF"/>
            <w:tcMar>
              <w:top w:w="100" w:type="dxa"/>
              <w:bottom w:w="100" w:type="dxa"/>
              <w:left w:w="120" w:type="dxa"/>
              <w:right w:w="120" w:type="dxa"/>
            </w:tcMar>
          </w:tcPr>
          <w:p>
            <w:pPr>
              <w:spacing w:after="40"/>
              <w:jc w:val="right"/>
            </w:pPr>
            <w:r>
              <w:rPr>
                <w:rFonts w:ascii="微软雅黑" w:hAnsi="微软雅黑"/>
                <w:b w:val="0"/>
                <w:i w:val="0"/>
                <w:color w:val="1E1E1E"/>
                <w:sz w:val="18"/>
                <w:rFonts w:eastAsia="微软雅黑" w:ascii="微软雅黑" w:hAnsi="微软雅黑"/>
              </w:rPr>
              <w:t>1100 万元</w:t>
            </w:r>
          </w:p>
        </w:tc>
      </w:tr>
      <w:tr>
        <w:tc>
          <w:tcPr>
            <w:tcW w:type="dxa" w:w="3168"/>
            <w:shd w:fill="F9FBFD"/>
            <w:tcMar>
              <w:top w:w="100" w:type="dxa"/>
              <w:bottom w:w="100" w:type="dxa"/>
              <w:left w:w="120" w:type="dxa"/>
              <w:right w:w="120" w:type="dxa"/>
            </w:tcMar>
          </w:tcPr>
          <w:p>
            <w:pPr>
              <w:spacing w:after="40"/>
              <w:jc w:val="left"/>
            </w:pPr>
            <w:r>
              <w:rPr>
                <w:rFonts w:ascii="微软雅黑" w:hAnsi="微软雅黑"/>
                <w:b/>
                <w:i w:val="0"/>
                <w:color w:val="1E1E1E"/>
                <w:sz w:val="18"/>
                <w:rFonts w:eastAsia="微软雅黑" w:ascii="微软雅黑" w:hAnsi="微软雅黑"/>
              </w:rPr>
              <w:t>净利润（Net Profit）</w:t>
            </w:r>
          </w:p>
        </w:tc>
        <w:tc>
          <w:tcPr>
            <w:tcW w:type="dxa" w:w="2160"/>
            <w:shd w:fill="F9FBFD"/>
            <w:tcMar>
              <w:top w:w="100" w:type="dxa"/>
              <w:bottom w:w="100" w:type="dxa"/>
              <w:left w:w="120" w:type="dxa"/>
              <w:right w:w="120" w:type="dxa"/>
            </w:tcMar>
          </w:tcPr>
          <w:p>
            <w:pPr>
              <w:spacing w:after="40"/>
              <w:jc w:val="right"/>
            </w:pPr>
            <w:r>
              <w:rPr>
                <w:rFonts w:ascii="微软雅黑" w:hAnsi="微软雅黑"/>
                <w:b/>
                <w:i w:val="0"/>
                <w:color w:val="1E1E1E"/>
                <w:sz w:val="18"/>
                <w:rFonts w:eastAsia="微软雅黑" w:ascii="微软雅黑" w:hAnsi="微软雅黑"/>
              </w:rPr>
              <w:t>25 万元</w:t>
            </w:r>
          </w:p>
        </w:tc>
        <w:tc>
          <w:tcPr>
            <w:tcW w:type="dxa" w:w="2160"/>
            <w:shd w:fill="F9FBFD"/>
            <w:tcMar>
              <w:top w:w="100" w:type="dxa"/>
              <w:bottom w:w="100" w:type="dxa"/>
              <w:left w:w="120" w:type="dxa"/>
              <w:right w:w="120" w:type="dxa"/>
            </w:tcMar>
          </w:tcPr>
          <w:p>
            <w:pPr>
              <w:spacing w:after="40"/>
              <w:jc w:val="right"/>
            </w:pPr>
            <w:r>
              <w:rPr>
                <w:rFonts w:ascii="微软雅黑" w:hAnsi="微软雅黑"/>
                <w:b/>
                <w:i w:val="0"/>
                <w:color w:val="1E1E1E"/>
                <w:sz w:val="18"/>
                <w:rFonts w:eastAsia="微软雅黑" w:ascii="微软雅黑" w:hAnsi="微软雅黑"/>
              </w:rPr>
              <w:t>240 万元</w:t>
            </w:r>
          </w:p>
        </w:tc>
        <w:tc>
          <w:tcPr>
            <w:tcW w:type="dxa" w:w="2160"/>
            <w:shd w:fill="F9FBFD"/>
            <w:tcMar>
              <w:top w:w="100" w:type="dxa"/>
              <w:bottom w:w="100" w:type="dxa"/>
              <w:left w:w="120" w:type="dxa"/>
              <w:right w:w="120" w:type="dxa"/>
            </w:tcMar>
          </w:tcPr>
          <w:p>
            <w:pPr>
              <w:spacing w:after="40"/>
              <w:jc w:val="right"/>
            </w:pPr>
            <w:r>
              <w:rPr>
                <w:rFonts w:ascii="微软雅黑" w:hAnsi="微软雅黑"/>
                <w:b/>
                <w:i w:val="0"/>
                <w:color w:val="1E1E1E"/>
                <w:sz w:val="18"/>
                <w:rFonts w:eastAsia="微软雅黑" w:ascii="微软雅黑" w:hAnsi="微软雅黑"/>
              </w:rPr>
              <w:t>900 万元</w:t>
            </w:r>
          </w:p>
        </w:tc>
      </w:tr>
    </w:tbl>
    <w:p>
      <w:pPr>
        <w:spacing w:after="160"/>
      </w:pPr>
    </w:p>
    <w:p>
      <w:pPr>
        <w:keepNext/>
        <w:spacing w:before="240" w:after="120"/>
      </w:pPr>
      <w:r>
        <w:rPr>
          <w:rFonts w:ascii="微软雅黑" w:hAnsi="微软雅黑"/>
          <w:b/>
          <w:i w:val="0"/>
          <w:color w:val="1E5A96"/>
          <w:sz w:val="25"/>
          <w:rFonts w:eastAsia="微软雅黑" w:ascii="微软雅黑" w:hAnsi="微软雅黑"/>
        </w:rPr>
        <w:t>8.2 产业赛道成果转化与融资支持需求</w:t>
      </w:r>
    </w:p>
    <w:p>
      <w:pPr>
        <w:spacing w:before="40" w:after="120" w:line="312" w:lineRule="auto"/>
      </w:pPr>
      <w:r>
        <w:rPr>
          <w:rFonts w:ascii="微软雅黑" w:hAnsi="微软雅黑"/>
          <w:b w:val="0"/>
          <w:i w:val="0"/>
          <w:color w:val="333333"/>
          <w:sz w:val="21"/>
          <w:rFonts w:eastAsia="微软雅黑" w:ascii="微软雅黑" w:hAnsi="微软雅黑"/>
        </w:rPr>
        <w:t>1. 产业场景对接合作：希望依托本次大赛平台，对接国内智能制造、金融信息、大型软件开发等企业，开展专属智能体定制与产学研联合攻关试点。</w:t>
        <w:br/>
        <w:t>2. 早期孵化资金支持：计划出让 5%-10% 股权，寻求 100-200 万元天使轮创业孵化资金，主要用于软硬件批量生产供应链优化、研发团队扩充及大模型算力测试集群搭建。</w:t>
        <w:br/>
        <w:t>3. 高校产学研示范协同：深化与高校计算机学院及重点实验室的技术合作，加速高阶智能体博弈与多 Agent 协同编排技术的科研成果转化。</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b w:val="0"/>
        <w:i w:val="0"/>
        <w:color w:val="969696"/>
        <w:sz w:val="17"/>
        <w:rFonts w:eastAsia="微软雅黑" w:ascii="微软雅黑" w:hAnsi="微软雅黑"/>
      </w:rPr>
      <w:t>中国国际大学生创新大赛（产业赛道）项目计划书 | 西安花濑科技有限责任公司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