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AC92" w14:textId="77777777" w:rsidR="00E65583" w:rsidRPr="00CA1C39" w:rsidRDefault="00000000">
      <w:pPr>
        <w:pStyle w:val="Title"/>
        <w:rPr>
          <w:rFonts w:cstheme="majorHAnsi"/>
        </w:rPr>
      </w:pPr>
      <w:r w:rsidRPr="00CA1C39">
        <w:rPr>
          <w:rFonts w:cstheme="majorHAnsi"/>
        </w:rPr>
        <w:t>Comprehensive Vulnerability Assessment and Exploitation Report</w:t>
      </w:r>
    </w:p>
    <w:p w14:paraId="6C3829C3" w14:textId="77777777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Executive Summary</w:t>
      </w:r>
    </w:p>
    <w:p w14:paraId="41A71E0B" w14:textId="77777777" w:rsidR="00E65583" w:rsidRPr="00CA1C39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This comprehensive report presents the findings from a vulnerability assessment and exploitation exercise performed on the Metasploitable 3 virtual machine. The objective of the project was to identify vulnerabilities, assess their impact based on GRC (Governance, Risk, and Compliance) standards, and demonstrate technical exploitation using industry-standard tools. The assessment mapped vulnerabilities to ISO 27001 and NIST 800-53 compliance requirements.</w:t>
      </w:r>
    </w:p>
    <w:p w14:paraId="43385DBE" w14:textId="77777777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1. Assessment Scope and Environment</w:t>
      </w:r>
    </w:p>
    <w:p w14:paraId="64712261" w14:textId="77777777" w:rsidR="00E65583" w:rsidRPr="00CA1C39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- Target System: Metasploitable 3 (Windows Server 2008 R2)</w:t>
      </w:r>
      <w:r w:rsidRPr="00CA1C39">
        <w:rPr>
          <w:rFonts w:asciiTheme="majorHAnsi" w:hAnsiTheme="majorHAnsi" w:cstheme="majorHAnsi"/>
        </w:rPr>
        <w:br/>
        <w:t>- IP Address: 10.0.2.4</w:t>
      </w:r>
      <w:r w:rsidRPr="00CA1C39">
        <w:rPr>
          <w:rFonts w:asciiTheme="majorHAnsi" w:hAnsiTheme="majorHAnsi" w:cstheme="majorHAnsi"/>
        </w:rPr>
        <w:br/>
        <w:t>- Testing Environment: Kali Linux running on VirtualBox</w:t>
      </w:r>
      <w:r w:rsidRPr="00CA1C39">
        <w:rPr>
          <w:rFonts w:asciiTheme="majorHAnsi" w:hAnsiTheme="majorHAnsi" w:cstheme="majorHAnsi"/>
        </w:rPr>
        <w:br/>
        <w:t>- Compliance Standards: ISO 27001, NIST 800-53</w:t>
      </w:r>
      <w:r w:rsidRPr="00CA1C39">
        <w:rPr>
          <w:rFonts w:asciiTheme="majorHAnsi" w:hAnsiTheme="majorHAnsi" w:cstheme="majorHAnsi"/>
        </w:rPr>
        <w:br/>
        <w:t>- Tools Used:</w:t>
      </w:r>
      <w:r w:rsidRPr="00CA1C39">
        <w:rPr>
          <w:rFonts w:asciiTheme="majorHAnsi" w:hAnsiTheme="majorHAnsi" w:cstheme="majorHAnsi"/>
        </w:rPr>
        <w:br/>
        <w:t xml:space="preserve">  - Nmap (Network Scanning and Service Enumeration)</w:t>
      </w:r>
      <w:r w:rsidRPr="00CA1C39">
        <w:rPr>
          <w:rFonts w:asciiTheme="majorHAnsi" w:hAnsiTheme="majorHAnsi" w:cstheme="majorHAnsi"/>
        </w:rPr>
        <w:br/>
        <w:t xml:space="preserve">  - Metasploit (Exploitation and Post-Exploitation)</w:t>
      </w:r>
      <w:r w:rsidRPr="00CA1C39">
        <w:rPr>
          <w:rFonts w:asciiTheme="majorHAnsi" w:hAnsiTheme="majorHAnsi" w:cstheme="majorHAnsi"/>
        </w:rPr>
        <w:br/>
        <w:t xml:space="preserve">  - OpenVAS (Automated Vulnerability Scanning)</w:t>
      </w:r>
      <w:r w:rsidRPr="00CA1C39">
        <w:rPr>
          <w:rFonts w:asciiTheme="majorHAnsi" w:hAnsiTheme="majorHAnsi" w:cstheme="majorHAnsi"/>
        </w:rPr>
        <w:br/>
        <w:t xml:space="preserve">  - Hashcat (Password Cracking)</w:t>
      </w:r>
      <w:r w:rsidRPr="00CA1C39">
        <w:rPr>
          <w:rFonts w:asciiTheme="majorHAnsi" w:hAnsiTheme="majorHAnsi" w:cstheme="majorHAnsi"/>
        </w:rPr>
        <w:br/>
        <w:t xml:space="preserve">  - PowerShell (Post-Exploitation Analysis)</w:t>
      </w:r>
      <w:r w:rsidRPr="00CA1C39">
        <w:rPr>
          <w:rFonts w:asciiTheme="majorHAnsi" w:hAnsiTheme="majorHAnsi" w:cstheme="majorHAnsi"/>
        </w:rPr>
        <w:br/>
        <w:t>- Assessment Date: March 26, 2025</w:t>
      </w:r>
    </w:p>
    <w:p w14:paraId="6340D3B4" w14:textId="77777777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2. Methodology</w:t>
      </w:r>
    </w:p>
    <w:p w14:paraId="490692E1" w14:textId="77777777" w:rsidR="00E65583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The assessment followed a structured methodology:</w:t>
      </w:r>
      <w:r w:rsidRPr="00CA1C39">
        <w:rPr>
          <w:rFonts w:asciiTheme="majorHAnsi" w:hAnsiTheme="majorHAnsi" w:cstheme="majorHAnsi"/>
        </w:rPr>
        <w:br/>
        <w:t>1. Network Scanning using Nmap</w:t>
      </w:r>
      <w:r w:rsidRPr="00CA1C39">
        <w:rPr>
          <w:rFonts w:asciiTheme="majorHAnsi" w:hAnsiTheme="majorHAnsi" w:cstheme="majorHAnsi"/>
        </w:rPr>
        <w:br/>
        <w:t>2. Service Enumeration</w:t>
      </w:r>
      <w:r w:rsidRPr="00CA1C39">
        <w:rPr>
          <w:rFonts w:asciiTheme="majorHAnsi" w:hAnsiTheme="majorHAnsi" w:cstheme="majorHAnsi"/>
        </w:rPr>
        <w:br/>
        <w:t>3. Vulnerability Analysis with OpenVAS</w:t>
      </w:r>
      <w:r w:rsidRPr="00CA1C39">
        <w:rPr>
          <w:rFonts w:asciiTheme="majorHAnsi" w:hAnsiTheme="majorHAnsi" w:cstheme="majorHAnsi"/>
        </w:rPr>
        <w:br/>
        <w:t>4. Exploitation using Metasploit</w:t>
      </w:r>
      <w:r w:rsidRPr="00CA1C39">
        <w:rPr>
          <w:rFonts w:asciiTheme="majorHAnsi" w:hAnsiTheme="majorHAnsi" w:cstheme="majorHAnsi"/>
        </w:rPr>
        <w:br/>
        <w:t>5. Post-Exploitation activities</w:t>
      </w:r>
      <w:r w:rsidRPr="00CA1C39">
        <w:rPr>
          <w:rFonts w:asciiTheme="majorHAnsi" w:hAnsiTheme="majorHAnsi" w:cstheme="majorHAnsi"/>
        </w:rPr>
        <w:br/>
        <w:t>6. GRC Mapping</w:t>
      </w:r>
      <w:r w:rsidRPr="00CA1C39">
        <w:rPr>
          <w:rFonts w:asciiTheme="majorHAnsi" w:hAnsiTheme="majorHAnsi" w:cstheme="majorHAnsi"/>
        </w:rPr>
        <w:br/>
        <w:t>7. Reporting and Documentation</w:t>
      </w:r>
    </w:p>
    <w:p w14:paraId="26C71416" w14:textId="77777777" w:rsidR="00CA1C39" w:rsidRPr="00CA1C39" w:rsidRDefault="00CA1C39">
      <w:pPr>
        <w:rPr>
          <w:rFonts w:asciiTheme="majorHAnsi" w:hAnsiTheme="majorHAnsi" w:cstheme="majorHAnsi"/>
        </w:rPr>
      </w:pPr>
    </w:p>
    <w:p w14:paraId="1C3DB08F" w14:textId="77777777" w:rsidR="00E65583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lastRenderedPageBreak/>
        <w:t>3. Findings and Analysis</w:t>
      </w:r>
    </w:p>
    <w:p w14:paraId="67993EE2" w14:textId="77777777" w:rsidR="00CA1C39" w:rsidRPr="00CA1C39" w:rsidRDefault="00CA1C39" w:rsidP="00CA1C39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650"/>
        <w:gridCol w:w="1444"/>
        <w:gridCol w:w="1051"/>
        <w:gridCol w:w="1183"/>
        <w:gridCol w:w="1445"/>
        <w:gridCol w:w="2083"/>
      </w:tblGrid>
      <w:tr w:rsidR="00E65583" w:rsidRPr="00CA1C39" w14:paraId="4525BF04" w14:textId="77777777" w:rsidTr="00526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50" w:type="dxa"/>
          </w:tcPr>
          <w:p w14:paraId="05AB2A3B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Vulnerability ID</w:t>
            </w:r>
          </w:p>
        </w:tc>
        <w:tc>
          <w:tcPr>
            <w:tcW w:w="1444" w:type="dxa"/>
          </w:tcPr>
          <w:p w14:paraId="127FC977" w14:textId="77777777" w:rsidR="00E65583" w:rsidRPr="00CA1C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051" w:type="dxa"/>
          </w:tcPr>
          <w:p w14:paraId="4B609E44" w14:textId="77777777" w:rsidR="00E65583" w:rsidRPr="00CA1C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Risk Level</w:t>
            </w:r>
          </w:p>
        </w:tc>
        <w:tc>
          <w:tcPr>
            <w:tcW w:w="1183" w:type="dxa"/>
          </w:tcPr>
          <w:p w14:paraId="54A46DD8" w14:textId="77777777" w:rsidR="00E65583" w:rsidRPr="00CA1C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Affected Service</w:t>
            </w:r>
          </w:p>
        </w:tc>
        <w:tc>
          <w:tcPr>
            <w:tcW w:w="1445" w:type="dxa"/>
          </w:tcPr>
          <w:p w14:paraId="4316DAD3" w14:textId="77777777" w:rsidR="00E65583" w:rsidRPr="00CA1C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Compliance Impact</w:t>
            </w:r>
          </w:p>
        </w:tc>
        <w:tc>
          <w:tcPr>
            <w:tcW w:w="2083" w:type="dxa"/>
          </w:tcPr>
          <w:p w14:paraId="5ED5A4F2" w14:textId="77777777" w:rsidR="00E65583" w:rsidRPr="00CA1C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Mitigation Recommendation</w:t>
            </w:r>
          </w:p>
        </w:tc>
      </w:tr>
      <w:tr w:rsidR="00E65583" w:rsidRPr="00CA1C39" w14:paraId="5738E0C7" w14:textId="77777777" w:rsidTr="0052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41DD3E5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VULN-001</w:t>
            </w:r>
          </w:p>
        </w:tc>
        <w:tc>
          <w:tcPr>
            <w:tcW w:w="1444" w:type="dxa"/>
          </w:tcPr>
          <w:p w14:paraId="1756D10F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Weak FTP Passwords</w:t>
            </w:r>
          </w:p>
        </w:tc>
        <w:tc>
          <w:tcPr>
            <w:tcW w:w="1051" w:type="dxa"/>
          </w:tcPr>
          <w:p w14:paraId="789EF042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183" w:type="dxa"/>
          </w:tcPr>
          <w:p w14:paraId="0473FC95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Microsoft ftpd (Port 21)</w:t>
            </w:r>
          </w:p>
        </w:tc>
        <w:tc>
          <w:tcPr>
            <w:tcW w:w="1445" w:type="dxa"/>
          </w:tcPr>
          <w:p w14:paraId="70AD831E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NIST 800-53 AC-7</w:t>
            </w:r>
          </w:p>
        </w:tc>
        <w:tc>
          <w:tcPr>
            <w:tcW w:w="2083" w:type="dxa"/>
          </w:tcPr>
          <w:p w14:paraId="4B8C0F6F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Disable anonymous access, enforce strong passwords</w:t>
            </w:r>
          </w:p>
        </w:tc>
      </w:tr>
      <w:tr w:rsidR="00E65583" w:rsidRPr="00CA1C39" w14:paraId="16A8109E" w14:textId="77777777" w:rsidTr="00526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C1408C3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VULN-002</w:t>
            </w:r>
          </w:p>
        </w:tc>
        <w:tc>
          <w:tcPr>
            <w:tcW w:w="1444" w:type="dxa"/>
          </w:tcPr>
          <w:p w14:paraId="67A0EBD7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Risky HTTP Methods</w:t>
            </w:r>
          </w:p>
        </w:tc>
        <w:tc>
          <w:tcPr>
            <w:tcW w:w="1051" w:type="dxa"/>
          </w:tcPr>
          <w:p w14:paraId="2384907E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1183" w:type="dxa"/>
          </w:tcPr>
          <w:p w14:paraId="2FA7EF24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Microsoft IIS HTTPD 7.5 (Port 80)</w:t>
            </w:r>
          </w:p>
        </w:tc>
        <w:tc>
          <w:tcPr>
            <w:tcW w:w="1445" w:type="dxa"/>
          </w:tcPr>
          <w:p w14:paraId="588E08DA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ISO 27001 A.12.6.1</w:t>
            </w:r>
          </w:p>
        </w:tc>
        <w:tc>
          <w:tcPr>
            <w:tcW w:w="2083" w:type="dxa"/>
          </w:tcPr>
          <w:p w14:paraId="5BF665B1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Disable TRACE and unnecessary HTTP methods</w:t>
            </w:r>
          </w:p>
        </w:tc>
      </w:tr>
      <w:tr w:rsidR="00E65583" w:rsidRPr="00CA1C39" w14:paraId="5B95F6E5" w14:textId="77777777" w:rsidTr="0052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89244A8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VULN-003</w:t>
            </w:r>
          </w:p>
        </w:tc>
        <w:tc>
          <w:tcPr>
            <w:tcW w:w="1444" w:type="dxa"/>
          </w:tcPr>
          <w:p w14:paraId="2E60B0E8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Weak Diffie-Hellman Group Strength</w:t>
            </w:r>
          </w:p>
        </w:tc>
        <w:tc>
          <w:tcPr>
            <w:tcW w:w="1051" w:type="dxa"/>
          </w:tcPr>
          <w:p w14:paraId="4E6F7FE2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183" w:type="dxa"/>
          </w:tcPr>
          <w:p w14:paraId="2689E582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SSL/TLS (Ports 4848, 8181, 8383)</w:t>
            </w:r>
          </w:p>
        </w:tc>
        <w:tc>
          <w:tcPr>
            <w:tcW w:w="1445" w:type="dxa"/>
          </w:tcPr>
          <w:p w14:paraId="13366EFE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ISO 27001 A.12.6.2</w:t>
            </w:r>
          </w:p>
        </w:tc>
        <w:tc>
          <w:tcPr>
            <w:tcW w:w="2083" w:type="dxa"/>
          </w:tcPr>
          <w:p w14:paraId="2A4CB3AE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Upgrade to stronger cipher suites (2048-bit or higher)</w:t>
            </w:r>
          </w:p>
        </w:tc>
      </w:tr>
      <w:tr w:rsidR="00E65583" w:rsidRPr="00CA1C39" w14:paraId="6360E08C" w14:textId="77777777" w:rsidTr="00526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232DA37B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VULN-004</w:t>
            </w:r>
          </w:p>
        </w:tc>
        <w:tc>
          <w:tcPr>
            <w:tcW w:w="1444" w:type="dxa"/>
          </w:tcPr>
          <w:p w14:paraId="28E57BEE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SMBv1 Enabled - MS17-010</w:t>
            </w:r>
          </w:p>
        </w:tc>
        <w:tc>
          <w:tcPr>
            <w:tcW w:w="1051" w:type="dxa"/>
          </w:tcPr>
          <w:p w14:paraId="06D00F90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Critical</w:t>
            </w:r>
          </w:p>
        </w:tc>
        <w:tc>
          <w:tcPr>
            <w:tcW w:w="1183" w:type="dxa"/>
          </w:tcPr>
          <w:p w14:paraId="76F1C054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Microsoft SMB (Ports 139, 445)</w:t>
            </w:r>
          </w:p>
        </w:tc>
        <w:tc>
          <w:tcPr>
            <w:tcW w:w="1445" w:type="dxa"/>
          </w:tcPr>
          <w:p w14:paraId="336C5F7C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NIST 800-53 CM-7</w:t>
            </w:r>
          </w:p>
        </w:tc>
        <w:tc>
          <w:tcPr>
            <w:tcW w:w="2083" w:type="dxa"/>
          </w:tcPr>
          <w:p w14:paraId="5F97F362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Disable SMBv1, apply patches</w:t>
            </w:r>
          </w:p>
        </w:tc>
      </w:tr>
      <w:tr w:rsidR="00E65583" w:rsidRPr="00CA1C39" w14:paraId="3CDE6025" w14:textId="77777777" w:rsidTr="0052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169354EC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VULN-005</w:t>
            </w:r>
          </w:p>
        </w:tc>
        <w:tc>
          <w:tcPr>
            <w:tcW w:w="1444" w:type="dxa"/>
          </w:tcPr>
          <w:p w14:paraId="2D2D9117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Slowloris DOS Attack</w:t>
            </w:r>
          </w:p>
        </w:tc>
        <w:tc>
          <w:tcPr>
            <w:tcW w:w="1051" w:type="dxa"/>
          </w:tcPr>
          <w:p w14:paraId="4823F167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183" w:type="dxa"/>
          </w:tcPr>
          <w:p w14:paraId="25F0D24A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HTTP Proxy (Port 8080)</w:t>
            </w:r>
          </w:p>
        </w:tc>
        <w:tc>
          <w:tcPr>
            <w:tcW w:w="1445" w:type="dxa"/>
          </w:tcPr>
          <w:p w14:paraId="22C01A81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NIST 800-53 SC-5</w:t>
            </w:r>
          </w:p>
        </w:tc>
        <w:tc>
          <w:tcPr>
            <w:tcW w:w="2083" w:type="dxa"/>
          </w:tcPr>
          <w:p w14:paraId="3EC5947D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Implement rate limiting, use reverse proxy</w:t>
            </w:r>
          </w:p>
        </w:tc>
      </w:tr>
      <w:tr w:rsidR="00E65583" w:rsidRPr="00CA1C39" w14:paraId="3DA3AE6B" w14:textId="77777777" w:rsidTr="00526D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3A1B3206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VULN-006</w:t>
            </w:r>
          </w:p>
        </w:tc>
        <w:tc>
          <w:tcPr>
            <w:tcW w:w="1444" w:type="dxa"/>
          </w:tcPr>
          <w:p w14:paraId="405AEE11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Path Traversal Vulnerability</w:t>
            </w:r>
          </w:p>
        </w:tc>
        <w:tc>
          <w:tcPr>
            <w:tcW w:w="1051" w:type="dxa"/>
          </w:tcPr>
          <w:p w14:paraId="7B6BCC80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183" w:type="dxa"/>
          </w:tcPr>
          <w:p w14:paraId="719151E5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HTTP Proxy (Port 8080)</w:t>
            </w:r>
          </w:p>
        </w:tc>
        <w:tc>
          <w:tcPr>
            <w:tcW w:w="1445" w:type="dxa"/>
          </w:tcPr>
          <w:p w14:paraId="6EFFA0B8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ISO 27001 A.12.6.1</w:t>
            </w:r>
          </w:p>
        </w:tc>
        <w:tc>
          <w:tcPr>
            <w:tcW w:w="2083" w:type="dxa"/>
          </w:tcPr>
          <w:p w14:paraId="5FC5ADA6" w14:textId="77777777" w:rsidR="00E65583" w:rsidRPr="00CA1C3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Sanitize inputs, restrict directory access</w:t>
            </w:r>
          </w:p>
        </w:tc>
      </w:tr>
      <w:tr w:rsidR="00E65583" w:rsidRPr="00CA1C39" w14:paraId="1C8D8A74" w14:textId="77777777" w:rsidTr="00526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4B67150A" w14:textId="77777777" w:rsidR="00E65583" w:rsidRPr="00CA1C39" w:rsidRDefault="00000000">
            <w:pPr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VULN-007</w:t>
            </w:r>
          </w:p>
        </w:tc>
        <w:tc>
          <w:tcPr>
            <w:tcW w:w="1444" w:type="dxa"/>
          </w:tcPr>
          <w:p w14:paraId="4C9EF620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MySQL Connection Errors</w:t>
            </w:r>
          </w:p>
        </w:tc>
        <w:tc>
          <w:tcPr>
            <w:tcW w:w="1051" w:type="dxa"/>
          </w:tcPr>
          <w:p w14:paraId="09550D22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High</w:t>
            </w:r>
          </w:p>
        </w:tc>
        <w:tc>
          <w:tcPr>
            <w:tcW w:w="1183" w:type="dxa"/>
          </w:tcPr>
          <w:p w14:paraId="1EE58D39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MySQL (Port 3306)</w:t>
            </w:r>
          </w:p>
        </w:tc>
        <w:tc>
          <w:tcPr>
            <w:tcW w:w="1445" w:type="dxa"/>
          </w:tcPr>
          <w:p w14:paraId="67677C33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ISO 27001 A.9.2.3</w:t>
            </w:r>
          </w:p>
        </w:tc>
        <w:tc>
          <w:tcPr>
            <w:tcW w:w="2083" w:type="dxa"/>
          </w:tcPr>
          <w:p w14:paraId="0814AF16" w14:textId="77777777" w:rsidR="00E65583" w:rsidRPr="00CA1C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1C39">
              <w:rPr>
                <w:rFonts w:asciiTheme="majorHAnsi" w:hAnsiTheme="majorHAnsi" w:cstheme="majorHAnsi"/>
              </w:rPr>
              <w:t>Rate limit, enforce strong password policies</w:t>
            </w:r>
          </w:p>
        </w:tc>
      </w:tr>
    </w:tbl>
    <w:p w14:paraId="2C582C70" w14:textId="55A758D4" w:rsidR="00526D99" w:rsidRPr="00526D99" w:rsidRDefault="00526D99" w:rsidP="00526D99">
      <w:pPr>
        <w:pStyle w:val="Heading1"/>
        <w:rPr>
          <w:rFonts w:cstheme="majorHAnsi"/>
          <w:lang w:val="en-GB"/>
        </w:rPr>
      </w:pPr>
      <w:r w:rsidRPr="00526D99">
        <w:rPr>
          <w:rFonts w:cstheme="majorHAnsi"/>
          <w:lang w:val="en-GB"/>
        </w:rPr>
        <w:lastRenderedPageBreak/>
        <w:drawing>
          <wp:inline distT="0" distB="0" distL="0" distR="0" wp14:anchorId="1FD23ABD" wp14:editId="43FEF95D">
            <wp:extent cx="2647950" cy="2107021"/>
            <wp:effectExtent l="0" t="0" r="0" b="7620"/>
            <wp:docPr id="380949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31" cy="212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ajorHAnsi"/>
          <w:lang w:val="en-GB"/>
        </w:rPr>
        <w:t xml:space="preserve">  </w:t>
      </w:r>
      <w:r w:rsidRPr="00526D99">
        <w:rPr>
          <w:rFonts w:cstheme="majorHAnsi"/>
          <w:lang w:val="en-GB"/>
        </w:rPr>
        <w:drawing>
          <wp:inline distT="0" distB="0" distL="0" distR="0" wp14:anchorId="2838F693" wp14:editId="60583A94">
            <wp:extent cx="2717735" cy="2134870"/>
            <wp:effectExtent l="0" t="0" r="6985" b="0"/>
            <wp:docPr id="6645662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6627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73" cy="2172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5E2B" w14:textId="6F4315F7" w:rsidR="00526D99" w:rsidRPr="00526D99" w:rsidRDefault="00526D99" w:rsidP="00526D99">
      <w:pPr>
        <w:pStyle w:val="Heading1"/>
        <w:rPr>
          <w:rFonts w:cstheme="majorHAnsi"/>
          <w:lang w:val="en-GB"/>
        </w:rPr>
      </w:pPr>
      <w:r w:rsidRPr="00526D99">
        <w:rPr>
          <w:rFonts w:cstheme="majorHAnsi"/>
          <w:lang w:val="en-GB"/>
        </w:rPr>
        <w:drawing>
          <wp:inline distT="0" distB="0" distL="0" distR="0" wp14:anchorId="4431A171" wp14:editId="3DF557CA">
            <wp:extent cx="2686050" cy="2127699"/>
            <wp:effectExtent l="0" t="0" r="0" b="6350"/>
            <wp:docPr id="87455882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882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61" cy="215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ajorHAnsi"/>
          <w:lang w:val="en-GB"/>
        </w:rPr>
        <w:t xml:space="preserve"> </w:t>
      </w:r>
      <w:r w:rsidRPr="00526D99">
        <w:rPr>
          <w:rFonts w:cstheme="majorHAnsi"/>
          <w:lang w:val="en-GB"/>
        </w:rPr>
        <w:drawing>
          <wp:inline distT="0" distB="0" distL="0" distR="0" wp14:anchorId="17DABF73" wp14:editId="5AE0A5BE">
            <wp:extent cx="2671210" cy="2120582"/>
            <wp:effectExtent l="0" t="0" r="0" b="0"/>
            <wp:docPr id="516528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12" cy="21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451A" w14:textId="727A2B0C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4. Technical Exploitation and Post-Exploitation</w:t>
      </w:r>
    </w:p>
    <w:p w14:paraId="4E38E2CB" w14:textId="77777777" w:rsidR="00E65583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- Exploit Used: windows/smb/ms17_010_eternalblue</w:t>
      </w:r>
      <w:r w:rsidRPr="00CA1C39">
        <w:rPr>
          <w:rFonts w:asciiTheme="majorHAnsi" w:hAnsiTheme="majorHAnsi" w:cstheme="majorHAnsi"/>
        </w:rPr>
        <w:br/>
        <w:t>- Payload: windows/x64/meterpreter/reverse_tcp</w:t>
      </w:r>
      <w:r w:rsidRPr="00CA1C39">
        <w:rPr>
          <w:rFonts w:asciiTheme="majorHAnsi" w:hAnsiTheme="majorHAnsi" w:cstheme="majorHAnsi"/>
        </w:rPr>
        <w:br/>
        <w:t>- Result: SYSTEM-level access gained via Meterpreter session</w:t>
      </w:r>
      <w:r w:rsidRPr="00CA1C39">
        <w:rPr>
          <w:rFonts w:asciiTheme="majorHAnsi" w:hAnsiTheme="majorHAnsi" w:cstheme="majorHAnsi"/>
        </w:rPr>
        <w:br/>
        <w:t xml:space="preserve">- Post-Exploitation: System information gathered, sensitive data extracted, password cracking attempted using </w:t>
      </w:r>
      <w:proofErr w:type="spellStart"/>
      <w:r w:rsidRPr="00CA1C39">
        <w:rPr>
          <w:rFonts w:asciiTheme="majorHAnsi" w:hAnsiTheme="majorHAnsi" w:cstheme="majorHAnsi"/>
        </w:rPr>
        <w:t>Hashcat</w:t>
      </w:r>
      <w:proofErr w:type="spellEnd"/>
      <w:r w:rsidRPr="00CA1C39">
        <w:rPr>
          <w:rFonts w:asciiTheme="majorHAnsi" w:hAnsiTheme="majorHAnsi" w:cstheme="majorHAnsi"/>
        </w:rPr>
        <w:t xml:space="preserve"> with </w:t>
      </w:r>
      <w:proofErr w:type="spellStart"/>
      <w:r w:rsidRPr="00CA1C39">
        <w:rPr>
          <w:rFonts w:asciiTheme="majorHAnsi" w:hAnsiTheme="majorHAnsi" w:cstheme="majorHAnsi"/>
        </w:rPr>
        <w:t>Rockyou</w:t>
      </w:r>
      <w:proofErr w:type="spellEnd"/>
      <w:r w:rsidRPr="00CA1C39">
        <w:rPr>
          <w:rFonts w:asciiTheme="majorHAnsi" w:hAnsiTheme="majorHAnsi" w:cstheme="majorHAnsi"/>
        </w:rPr>
        <w:t xml:space="preserve"> wordlist</w:t>
      </w:r>
    </w:p>
    <w:p w14:paraId="0E50243D" w14:textId="6C89BC9C" w:rsidR="00526D99" w:rsidRPr="00526D99" w:rsidRDefault="00526D99">
      <w:pPr>
        <w:rPr>
          <w:rFonts w:asciiTheme="majorHAnsi" w:hAnsiTheme="majorHAnsi" w:cstheme="majorHAnsi"/>
          <w:lang w:val="en-GB"/>
        </w:rPr>
      </w:pPr>
      <w:r w:rsidRPr="00526D99">
        <w:rPr>
          <w:rFonts w:asciiTheme="majorHAnsi" w:hAnsiTheme="majorHAnsi" w:cstheme="majorHAnsi"/>
          <w:lang w:val="en-GB"/>
        </w:rPr>
        <w:lastRenderedPageBreak/>
        <w:drawing>
          <wp:inline distT="0" distB="0" distL="0" distR="0" wp14:anchorId="178367B3" wp14:editId="5F662441">
            <wp:extent cx="2695575" cy="2168003"/>
            <wp:effectExtent l="0" t="0" r="0" b="3810"/>
            <wp:docPr id="86238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045" cy="217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lang w:val="en-GB"/>
        </w:rPr>
        <w:t xml:space="preserve"> </w:t>
      </w:r>
      <w:r w:rsidRPr="00526D99">
        <w:rPr>
          <w:rFonts w:asciiTheme="majorHAnsi" w:hAnsiTheme="majorHAnsi" w:cstheme="majorHAnsi"/>
          <w:lang w:val="en-GB"/>
        </w:rPr>
        <w:drawing>
          <wp:inline distT="0" distB="0" distL="0" distR="0" wp14:anchorId="3D2A5718" wp14:editId="76167601">
            <wp:extent cx="2752725" cy="2164267"/>
            <wp:effectExtent l="0" t="0" r="0" b="7620"/>
            <wp:docPr id="195664001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4001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897" cy="217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5265" w14:textId="77777777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5. Recommendations</w:t>
      </w:r>
    </w:p>
    <w:p w14:paraId="6BA2E5EC" w14:textId="77777777" w:rsidR="00E65583" w:rsidRPr="00CA1C39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1. Implement strong password policies and multi-factor authentication (MFA).</w:t>
      </w:r>
      <w:r w:rsidRPr="00CA1C39">
        <w:rPr>
          <w:rFonts w:asciiTheme="majorHAnsi" w:hAnsiTheme="majorHAnsi" w:cstheme="majorHAnsi"/>
        </w:rPr>
        <w:br/>
        <w:t>2. Patch and update all vulnerable software.</w:t>
      </w:r>
      <w:r w:rsidRPr="00CA1C39">
        <w:rPr>
          <w:rFonts w:asciiTheme="majorHAnsi" w:hAnsiTheme="majorHAnsi" w:cstheme="majorHAnsi"/>
        </w:rPr>
        <w:br/>
        <w:t>3. Disable outdated protocols (e.g., SMBv1) and enforce secure communication.</w:t>
      </w:r>
      <w:r w:rsidRPr="00CA1C39">
        <w:rPr>
          <w:rFonts w:asciiTheme="majorHAnsi" w:hAnsiTheme="majorHAnsi" w:cstheme="majorHAnsi"/>
        </w:rPr>
        <w:br/>
        <w:t>4. Conduct regular vulnerability assessments to detect new threats.</w:t>
      </w:r>
      <w:r w:rsidRPr="00CA1C39">
        <w:rPr>
          <w:rFonts w:asciiTheme="majorHAnsi" w:hAnsiTheme="majorHAnsi" w:cstheme="majorHAnsi"/>
        </w:rPr>
        <w:br/>
        <w:t>5. Implement network monitoring to detect unusual traffic patterns.</w:t>
      </w:r>
      <w:r w:rsidRPr="00CA1C39">
        <w:rPr>
          <w:rFonts w:asciiTheme="majorHAnsi" w:hAnsiTheme="majorHAnsi" w:cstheme="majorHAnsi"/>
        </w:rPr>
        <w:br/>
        <w:t>6. Automate hash recognition and cracking processes.</w:t>
      </w:r>
    </w:p>
    <w:p w14:paraId="635B8B0A" w14:textId="77777777" w:rsidR="00E65583" w:rsidRPr="00CA1C39" w:rsidRDefault="00000000">
      <w:pPr>
        <w:pStyle w:val="Heading1"/>
        <w:rPr>
          <w:rFonts w:cstheme="majorHAnsi"/>
        </w:rPr>
      </w:pPr>
      <w:r w:rsidRPr="00CA1C39">
        <w:rPr>
          <w:rFonts w:cstheme="majorHAnsi"/>
        </w:rPr>
        <w:t>6. Conclusion</w:t>
      </w:r>
    </w:p>
    <w:p w14:paraId="49F1E5A9" w14:textId="77777777" w:rsidR="00E65583" w:rsidRPr="00CA1C39" w:rsidRDefault="00000000">
      <w:pPr>
        <w:rPr>
          <w:rFonts w:asciiTheme="majorHAnsi" w:hAnsiTheme="majorHAnsi" w:cstheme="majorHAnsi"/>
        </w:rPr>
      </w:pPr>
      <w:r w:rsidRPr="00CA1C39">
        <w:rPr>
          <w:rFonts w:asciiTheme="majorHAnsi" w:hAnsiTheme="majorHAnsi" w:cstheme="majorHAnsi"/>
        </w:rPr>
        <w:t>This project successfully demonstrated the process of vulnerability assessment and exploitation using the Metasploitable 3 environment. By identifying and exploiting critical vulnerabilities, the project highlights the importance of adhering to GRC standards and implementing robust security practices.</w:t>
      </w:r>
    </w:p>
    <w:sectPr w:rsidR="00E65583" w:rsidRPr="00CA1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34957">
    <w:abstractNumId w:val="8"/>
  </w:num>
  <w:num w:numId="2" w16cid:durableId="944995408">
    <w:abstractNumId w:val="6"/>
  </w:num>
  <w:num w:numId="3" w16cid:durableId="472260020">
    <w:abstractNumId w:val="5"/>
  </w:num>
  <w:num w:numId="4" w16cid:durableId="592665478">
    <w:abstractNumId w:val="4"/>
  </w:num>
  <w:num w:numId="5" w16cid:durableId="1182670538">
    <w:abstractNumId w:val="7"/>
  </w:num>
  <w:num w:numId="6" w16cid:durableId="409698247">
    <w:abstractNumId w:val="3"/>
  </w:num>
  <w:num w:numId="7" w16cid:durableId="458231401">
    <w:abstractNumId w:val="2"/>
  </w:num>
  <w:num w:numId="8" w16cid:durableId="1292594802">
    <w:abstractNumId w:val="1"/>
  </w:num>
  <w:num w:numId="9" w16cid:durableId="126295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AB6"/>
    <w:rsid w:val="00326F90"/>
    <w:rsid w:val="00441960"/>
    <w:rsid w:val="00526D99"/>
    <w:rsid w:val="00AA1D8D"/>
    <w:rsid w:val="00B47730"/>
    <w:rsid w:val="00CA1C39"/>
    <w:rsid w:val="00CB0664"/>
    <w:rsid w:val="00E655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721A7"/>
  <w14:defaultImageDpi w14:val="300"/>
  <w15:docId w15:val="{30CA8FAF-0841-4F15-B8DF-E58809684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CA1C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526D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7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LOUDHAIEF NOURHENE [IN2300021]</cp:lastModifiedBy>
  <cp:revision>3</cp:revision>
  <dcterms:created xsi:type="dcterms:W3CDTF">2013-12-23T23:15:00Z</dcterms:created>
  <dcterms:modified xsi:type="dcterms:W3CDTF">2025-04-10T13:56:00Z</dcterms:modified>
  <cp:category/>
</cp:coreProperties>
</file>