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48"/>
        </w:rPr>
        <w:t>AKILLI SAHA CRM</w:t>
      </w:r>
    </w:p>
    <w:p>
      <w:pPr>
        <w:spacing w:before="0" w:after="280"/>
        <w:jc w:val="center"/>
      </w:pPr>
      <w:r>
        <w:rPr>
          <w:rFonts w:ascii="Calibri" w:hAnsi="Calibri"/>
          <w:b/>
          <w:color w:val="3182CE"/>
          <w:sz w:val="28"/>
        </w:rPr>
        <w:t>SİSTEM MİMARİSİ VE KATMANLAR RAPORU</w:t>
      </w:r>
    </w:p>
    <w:p>
      <w:pPr>
        <w:spacing w:after="400"/>
        <w:jc w:val="center"/>
      </w:pPr>
      <w:r>
        <w:rPr>
          <w:rFonts w:ascii="Calibri" w:hAnsi="Calibri"/>
          <w:i/>
          <w:color w:val="718096"/>
          <w:sz w:val="19"/>
        </w:rPr>
        <w:t>Doküman Türü: Mimari Tasarım &amp; Katman Analizi  |  Hedef: Sıfır Maliyetli PoC → Azure Enterprise Geçişi</w:t>
      </w:r>
    </w:p>
    <w:p>
      <w:pPr>
        <w:spacing w:before="40" w:after="80" w:line="276" w:lineRule="auto"/>
      </w:pPr>
      <w:r>
        <w:rPr>
          <w:rFonts w:ascii="Calibri" w:hAnsi="Calibri"/>
          <w:color w:val="2D3748"/>
          <w:sz w:val="21"/>
        </w:rPr>
        <w:t>Bu rapor, gıda distribütörlüğü saha operasyonlarındaki 17 kolonluk Excel karmaşasını bitirmek, sahadaki satış temsilcisinin 30 saniyede zahmetsizce veri girmesini sağlamak ve 0 TL PoC aşamasından Azure Kurumsal (Enterprise) ortamına tek bir satır iş mantığı kodu değiştirmeden geçmek üzere tasarlanan sistem katmanlarını, sorumluluklarını ve resmi teknoloji yığınını tanımlar.</w:t>
      </w:r>
    </w:p>
    <w:p>
      <w:pPr>
        <w:keepNext/>
        <w:spacing w:before="360" w:after="120"/>
      </w:pPr>
      <w:r>
        <w:rPr>
          <w:rFonts w:ascii="Calibri" w:hAnsi="Calibri"/>
          <w:b/>
          <w:color w:val="1A365D"/>
          <w:sz w:val="28"/>
        </w:rPr>
        <w:t>1. Mimarî Katmanlar Özeti (Teknoloji &amp; Servis Matrisi)</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728"/>
            <w:tcMar>
              <w:top w:w="100" w:type="dxa"/>
              <w:bottom w:w="100" w:type="dxa"/>
              <w:left w:w="120" w:type="dxa"/>
              <w:right w:w="120" w:type="dxa"/>
            </w:tcMar>
            <w:shd w:fill="1A365D"/>
          </w:tcPr>
          <w:p>
            <w:pPr>
              <w:spacing w:before="40" w:after="40" w:line="252" w:lineRule="auto"/>
            </w:pPr>
            <w:r>
              <w:rPr>
                <w:rFonts w:ascii="Calibri" w:hAnsi="Calibri"/>
                <w:b/>
                <w:color w:val="FFFFFF"/>
                <w:sz w:val="19"/>
              </w:rPr>
              <w:t>Katman</w:t>
            </w:r>
          </w:p>
        </w:tc>
        <w:tc>
          <w:tcPr>
            <w:tcW w:type="dxa" w:w="2160"/>
            <w:tcMar>
              <w:top w:w="100" w:type="dxa"/>
              <w:bottom w:w="100" w:type="dxa"/>
              <w:left w:w="120" w:type="dxa"/>
              <w:right w:w="120" w:type="dxa"/>
            </w:tcMar>
            <w:shd w:fill="1A365D"/>
          </w:tcPr>
          <w:p>
            <w:pPr>
              <w:spacing w:before="40" w:after="40" w:line="252" w:lineRule="auto"/>
            </w:pPr>
            <w:r>
              <w:rPr>
                <w:rFonts w:ascii="Calibri" w:hAnsi="Calibri"/>
                <w:b/>
                <w:color w:val="FFFFFF"/>
                <w:sz w:val="19"/>
              </w:rPr>
              <w:t>Görevi</w:t>
            </w:r>
          </w:p>
        </w:tc>
        <w:tc>
          <w:tcPr>
            <w:tcW w:type="dxa" w:w="1584"/>
            <w:tcMar>
              <w:top w:w="100" w:type="dxa"/>
              <w:bottom w:w="100" w:type="dxa"/>
              <w:left w:w="120" w:type="dxa"/>
              <w:right w:w="120" w:type="dxa"/>
            </w:tcMar>
            <w:shd w:fill="1A365D"/>
          </w:tcPr>
          <w:p>
            <w:pPr>
              <w:spacing w:before="40" w:after="40" w:line="252" w:lineRule="auto"/>
            </w:pPr>
            <w:r>
              <w:rPr>
                <w:rFonts w:ascii="Calibri" w:hAnsi="Calibri"/>
                <w:b/>
                <w:color w:val="FFFFFF"/>
                <w:sz w:val="19"/>
              </w:rPr>
              <w:t>Dil / Framework</w:t>
            </w:r>
          </w:p>
        </w:tc>
        <w:tc>
          <w:tcPr>
            <w:tcW w:type="dxa" w:w="1728"/>
            <w:tcMar>
              <w:top w:w="100" w:type="dxa"/>
              <w:bottom w:w="100" w:type="dxa"/>
              <w:left w:w="120" w:type="dxa"/>
              <w:right w:w="120" w:type="dxa"/>
            </w:tcMar>
            <w:shd w:fill="1A365D"/>
          </w:tcPr>
          <w:p>
            <w:pPr>
              <w:spacing w:before="40" w:after="40" w:line="252" w:lineRule="auto"/>
            </w:pPr>
            <w:r>
              <w:rPr>
                <w:rFonts w:ascii="Calibri" w:hAnsi="Calibri"/>
                <w:b/>
                <w:color w:val="FFFFFF"/>
                <w:sz w:val="19"/>
              </w:rPr>
              <w:t>Kütüphane / Araç</w:t>
            </w:r>
          </w:p>
        </w:tc>
        <w:tc>
          <w:tcPr>
            <w:tcW w:type="dxa" w:w="1440"/>
            <w:tcMar>
              <w:top w:w="100" w:type="dxa"/>
              <w:bottom w:w="100" w:type="dxa"/>
              <w:left w:w="120" w:type="dxa"/>
              <w:right w:w="120" w:type="dxa"/>
            </w:tcMar>
            <w:shd w:fill="1A365D"/>
          </w:tcPr>
          <w:p>
            <w:pPr>
              <w:spacing w:before="40" w:after="40" w:line="252" w:lineRule="auto"/>
            </w:pPr>
            <w:r>
              <w:rPr>
                <w:rFonts w:ascii="Calibri" w:hAnsi="Calibri"/>
                <w:b/>
                <w:color w:val="FFFFFF"/>
                <w:sz w:val="19"/>
              </w:rPr>
              <w:t>PoC Servisi ($0)</w:t>
            </w:r>
          </w:p>
        </w:tc>
        <w:tc>
          <w:tcPr>
            <w:tcW w:type="dxa" w:w="1728"/>
            <w:tcMar>
              <w:top w:w="100" w:type="dxa"/>
              <w:bottom w:w="100" w:type="dxa"/>
              <w:left w:w="120" w:type="dxa"/>
              <w:right w:w="120" w:type="dxa"/>
            </w:tcMar>
            <w:shd w:fill="1A365D"/>
          </w:tcPr>
          <w:p>
            <w:pPr>
              <w:spacing w:before="40" w:after="40" w:line="252" w:lineRule="auto"/>
            </w:pPr>
            <w:r>
              <w:rPr>
                <w:rFonts w:ascii="Calibri" w:hAnsi="Calibri"/>
                <w:b/>
                <w:color w:val="FFFFFF"/>
                <w:sz w:val="19"/>
              </w:rPr>
              <w:t>Azure Enterprise</w:t>
            </w:r>
          </w:p>
        </w:tc>
      </w:tr>
      <w:tr>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1. Sunum / İstemci (Frontend)</w:t>
            </w:r>
          </w:p>
        </w:tc>
        <w:tc>
          <w:tcPr>
            <w:tcW w:type="dxa" w:w="2160"/>
            <w:tcMar>
              <w:top w:w="100" w:type="dxa"/>
              <w:bottom w:w="100" w:type="dxa"/>
              <w:left w:w="120" w:type="dxa"/>
              <w:right w:w="120" w:type="dxa"/>
            </w:tcMar>
            <w:shd w:fill="F7FAFC"/>
          </w:tcPr>
          <w:p>
            <w:pPr>
              <w:spacing w:before="40" w:after="40" w:line="252" w:lineRule="auto"/>
            </w:pPr>
            <w:r>
              <w:rPr>
                <w:rFonts w:ascii="Calibri" w:hAnsi="Calibri"/>
                <w:color w:val="2D3748"/>
                <w:sz w:val="17"/>
              </w:rPr>
              <w:t>Mobil öncelikli responsive PWA arayüzü, hızlı ziyaret formu.</w:t>
            </w:r>
          </w:p>
        </w:tc>
        <w:tc>
          <w:tcPr>
            <w:tcW w:type="dxa" w:w="1584"/>
            <w:tcMar>
              <w:top w:w="100" w:type="dxa"/>
              <w:bottom w:w="100" w:type="dxa"/>
              <w:left w:w="120" w:type="dxa"/>
              <w:right w:w="120" w:type="dxa"/>
            </w:tcMar>
            <w:shd w:fill="F7FAFC"/>
          </w:tcPr>
          <w:p>
            <w:pPr>
              <w:spacing w:before="40" w:after="40" w:line="252" w:lineRule="auto"/>
            </w:pPr>
            <w:r>
              <w:rPr>
                <w:rFonts w:ascii="Calibri" w:hAnsi="Calibri"/>
                <w:color w:val="2D3748"/>
                <w:sz w:val="17"/>
              </w:rPr>
              <w:t>TypeScript / React 18+</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Vite, Tailwind CSS, Lucide, Axios</w:t>
            </w:r>
          </w:p>
        </w:tc>
        <w:tc>
          <w:tcPr>
            <w:tcW w:type="dxa" w:w="1440"/>
            <w:tcMar>
              <w:top w:w="100" w:type="dxa"/>
              <w:bottom w:w="100" w:type="dxa"/>
              <w:left w:w="120" w:type="dxa"/>
              <w:right w:w="120" w:type="dxa"/>
            </w:tcMar>
            <w:shd w:fill="F7FAFC"/>
          </w:tcPr>
          <w:p>
            <w:pPr>
              <w:spacing w:before="40" w:after="40" w:line="252" w:lineRule="auto"/>
            </w:pPr>
            <w:r>
              <w:rPr>
                <w:rFonts w:ascii="Calibri" w:hAnsi="Calibri"/>
                <w:color w:val="2D3748"/>
                <w:sz w:val="17"/>
              </w:rPr>
              <w:t>Vercel CDN</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Azure Static Web Apps</w:t>
            </w:r>
          </w:p>
        </w:tc>
      </w:tr>
      <w:tr>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2. API / Denetleyici (Web Layer)</w:t>
            </w:r>
          </w:p>
        </w:tc>
        <w:tc>
          <w:tcPr>
            <w:tcW w:type="dxa" w:w="2160"/>
            <w:tcMar>
              <w:top w:w="100" w:type="dxa"/>
              <w:bottom w:w="100" w:type="dxa"/>
              <w:left w:w="120" w:type="dxa"/>
              <w:right w:w="120" w:type="dxa"/>
            </w:tcMar>
            <w:shd w:fill="FFFFFF"/>
          </w:tcPr>
          <w:p>
            <w:pPr>
              <w:spacing w:before="40" w:after="40" w:line="252" w:lineRule="auto"/>
            </w:pPr>
            <w:r>
              <w:rPr>
                <w:rFonts w:ascii="Calibri" w:hAnsi="Calibri"/>
                <w:color w:val="2D3748"/>
                <w:sz w:val="17"/>
              </w:rPr>
              <w:t>HTTP istek karşılama, girdi doğrulama, standart JSON yanıtlama.</w:t>
            </w:r>
          </w:p>
        </w:tc>
        <w:tc>
          <w:tcPr>
            <w:tcW w:type="dxa" w:w="1584"/>
            <w:tcMar>
              <w:top w:w="100" w:type="dxa"/>
              <w:bottom w:w="100" w:type="dxa"/>
              <w:left w:w="120" w:type="dxa"/>
              <w:right w:w="120" w:type="dxa"/>
            </w:tcMar>
            <w:shd w:fill="FFFFFF"/>
          </w:tcPr>
          <w:p>
            <w:pPr>
              <w:spacing w:before="40" w:after="40" w:line="252" w:lineRule="auto"/>
            </w:pPr>
            <w:r>
              <w:rPr>
                <w:rFonts w:ascii="Calibri" w:hAnsi="Calibri"/>
                <w:color w:val="2D3748"/>
                <w:sz w:val="17"/>
              </w:rPr>
              <w:t>Java 21</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Spring Boot Web, Jakarta Validation</w:t>
            </w:r>
          </w:p>
        </w:tc>
        <w:tc>
          <w:tcPr>
            <w:tcW w:type="dxa" w:w="1440"/>
            <w:tcMar>
              <w:top w:w="100" w:type="dxa"/>
              <w:bottom w:w="100" w:type="dxa"/>
              <w:left w:w="120" w:type="dxa"/>
              <w:right w:w="120" w:type="dxa"/>
            </w:tcMar>
            <w:shd w:fill="FFFFFF"/>
          </w:tcPr>
          <w:p>
            <w:pPr>
              <w:spacing w:before="40" w:after="40" w:line="252" w:lineRule="auto"/>
            </w:pPr>
            <w:r>
              <w:rPr>
                <w:rFonts w:ascii="Calibri" w:hAnsi="Calibri"/>
                <w:color w:val="2D3748"/>
                <w:sz w:val="17"/>
              </w:rPr>
              <w:t>Render Web Service</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Azure Container Apps</w:t>
            </w:r>
          </w:p>
        </w:tc>
      </w:tr>
      <w:tr>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3. Güvenlik &amp; Yetkilendirme</w:t>
            </w:r>
          </w:p>
        </w:tc>
        <w:tc>
          <w:tcPr>
            <w:tcW w:type="dxa" w:w="2160"/>
            <w:tcMar>
              <w:top w:w="100" w:type="dxa"/>
              <w:bottom w:w="100" w:type="dxa"/>
              <w:left w:w="120" w:type="dxa"/>
              <w:right w:w="120" w:type="dxa"/>
            </w:tcMar>
            <w:shd w:fill="F7FAFC"/>
          </w:tcPr>
          <w:p>
            <w:pPr>
              <w:spacing w:before="40" w:after="40" w:line="252" w:lineRule="auto"/>
            </w:pPr>
            <w:r>
              <w:rPr>
                <w:rFonts w:ascii="Calibri" w:hAnsi="Calibri"/>
                <w:color w:val="2D3748"/>
                <w:sz w:val="17"/>
              </w:rPr>
              <w:t>Stateless JWT, BCrypt, RBAC (ADMIN/SALES_REP) ve veri izolasyonu.</w:t>
            </w:r>
          </w:p>
        </w:tc>
        <w:tc>
          <w:tcPr>
            <w:tcW w:type="dxa" w:w="1584"/>
            <w:tcMar>
              <w:top w:w="100" w:type="dxa"/>
              <w:bottom w:w="100" w:type="dxa"/>
              <w:left w:w="120" w:type="dxa"/>
              <w:right w:w="120" w:type="dxa"/>
            </w:tcMar>
            <w:shd w:fill="F7FAFC"/>
          </w:tcPr>
          <w:p>
            <w:pPr>
              <w:spacing w:before="40" w:after="40" w:line="252" w:lineRule="auto"/>
            </w:pPr>
            <w:r>
              <w:rPr>
                <w:rFonts w:ascii="Calibri" w:hAnsi="Calibri"/>
                <w:color w:val="2D3748"/>
                <w:sz w:val="17"/>
              </w:rPr>
              <w:t>Java 21</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Spring Security 6, jjwt-api, BCrypt</w:t>
            </w:r>
          </w:p>
        </w:tc>
        <w:tc>
          <w:tcPr>
            <w:tcW w:type="dxa" w:w="1440"/>
            <w:tcMar>
              <w:top w:w="100" w:type="dxa"/>
              <w:bottom w:w="100" w:type="dxa"/>
              <w:left w:w="120" w:type="dxa"/>
              <w:right w:w="120" w:type="dxa"/>
            </w:tcMar>
            <w:shd w:fill="F7FAFC"/>
          </w:tcPr>
          <w:p>
            <w:pPr>
              <w:spacing w:before="40" w:after="40" w:line="252" w:lineRule="auto"/>
            </w:pPr>
            <w:r>
              <w:rPr>
                <w:rFonts w:ascii="Calibri" w:hAnsi="Calibri"/>
                <w:color w:val="2D3748"/>
                <w:sz w:val="17"/>
              </w:rPr>
              <w:t>Render Runtime</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Azure Container Apps + Key Vault</w:t>
            </w:r>
          </w:p>
        </w:tc>
      </w:tr>
      <w:tr>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4. İş Mantığı (Business Layer)</w:t>
            </w:r>
          </w:p>
        </w:tc>
        <w:tc>
          <w:tcPr>
            <w:tcW w:type="dxa" w:w="2160"/>
            <w:tcMar>
              <w:top w:w="100" w:type="dxa"/>
              <w:bottom w:w="100" w:type="dxa"/>
              <w:left w:w="120" w:type="dxa"/>
              <w:right w:w="120" w:type="dxa"/>
            </w:tcMar>
            <w:shd w:fill="FFFFFF"/>
          </w:tcPr>
          <w:p>
            <w:pPr>
              <w:spacing w:before="40" w:after="40" w:line="252" w:lineRule="auto"/>
            </w:pPr>
            <w:r>
              <w:rPr>
                <w:rFonts w:ascii="Calibri" w:hAnsi="Calibri"/>
                <w:color w:val="2D3748"/>
                <w:sz w:val="17"/>
              </w:rPr>
              <w:t>17 kolonu yöneten kurallar, ziyaret-numune-teklif yaşam döngüsü.</w:t>
            </w:r>
          </w:p>
        </w:tc>
        <w:tc>
          <w:tcPr>
            <w:tcW w:type="dxa" w:w="1584"/>
            <w:tcMar>
              <w:top w:w="100" w:type="dxa"/>
              <w:bottom w:w="100" w:type="dxa"/>
              <w:left w:w="120" w:type="dxa"/>
              <w:right w:w="120" w:type="dxa"/>
            </w:tcMar>
            <w:shd w:fill="FFFFFF"/>
          </w:tcPr>
          <w:p>
            <w:pPr>
              <w:spacing w:before="40" w:after="40" w:line="252" w:lineRule="auto"/>
            </w:pPr>
            <w:r>
              <w:rPr>
                <w:rFonts w:ascii="Calibri" w:hAnsi="Calibri"/>
                <w:color w:val="2D3748"/>
                <w:sz w:val="17"/>
              </w:rPr>
              <w:t>Java 21</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Spring Services (@Service, @Transactional)</w:t>
            </w:r>
          </w:p>
        </w:tc>
        <w:tc>
          <w:tcPr>
            <w:tcW w:type="dxa" w:w="1440"/>
            <w:tcMar>
              <w:top w:w="100" w:type="dxa"/>
              <w:bottom w:w="100" w:type="dxa"/>
              <w:left w:w="120" w:type="dxa"/>
              <w:right w:w="120" w:type="dxa"/>
            </w:tcMar>
            <w:shd w:fill="FFFFFF"/>
          </w:tcPr>
          <w:p>
            <w:pPr>
              <w:spacing w:before="40" w:after="40" w:line="252" w:lineRule="auto"/>
            </w:pPr>
            <w:r>
              <w:rPr>
                <w:rFonts w:ascii="Calibri" w:hAnsi="Calibri"/>
                <w:color w:val="2D3748"/>
                <w:sz w:val="17"/>
              </w:rPr>
              <w:t>Render Runtime</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Azure Container Apps</w:t>
            </w:r>
          </w:p>
        </w:tc>
      </w:tr>
      <w:tr>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5. Excel &amp; Dosya İşleme</w:t>
            </w:r>
          </w:p>
        </w:tc>
        <w:tc>
          <w:tcPr>
            <w:tcW w:type="dxa" w:w="2160"/>
            <w:tcMar>
              <w:top w:w="100" w:type="dxa"/>
              <w:bottom w:w="100" w:type="dxa"/>
              <w:left w:w="120" w:type="dxa"/>
              <w:right w:w="120" w:type="dxa"/>
            </w:tcMar>
            <w:shd w:fill="F7FAFC"/>
          </w:tcPr>
          <w:p>
            <w:pPr>
              <w:spacing w:before="40" w:after="40" w:line="252" w:lineRule="auto"/>
            </w:pPr>
            <w:r>
              <w:rPr>
                <w:rFonts w:ascii="Calibri" w:hAnsi="Calibri"/>
                <w:color w:val="2D3748"/>
                <w:sz w:val="17"/>
              </w:rPr>
              <w:t>Saha Excel'lerini içe aktarma (Import) ve 17 kolonluk dışa aktarma (Export).</w:t>
            </w:r>
          </w:p>
        </w:tc>
        <w:tc>
          <w:tcPr>
            <w:tcW w:type="dxa" w:w="1584"/>
            <w:tcMar>
              <w:top w:w="100" w:type="dxa"/>
              <w:bottom w:w="100" w:type="dxa"/>
              <w:left w:w="120" w:type="dxa"/>
              <w:right w:w="120" w:type="dxa"/>
            </w:tcMar>
            <w:shd w:fill="F7FAFC"/>
          </w:tcPr>
          <w:p>
            <w:pPr>
              <w:spacing w:before="40" w:after="40" w:line="252" w:lineRule="auto"/>
            </w:pPr>
            <w:r>
              <w:rPr>
                <w:rFonts w:ascii="Calibri" w:hAnsi="Calibri"/>
                <w:color w:val="2D3748"/>
                <w:sz w:val="17"/>
              </w:rPr>
              <w:t>Java 21</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Apache POI (SXSSFWorkbook streaming)</w:t>
            </w:r>
          </w:p>
        </w:tc>
        <w:tc>
          <w:tcPr>
            <w:tcW w:type="dxa" w:w="1440"/>
            <w:tcMar>
              <w:top w:w="100" w:type="dxa"/>
              <w:bottom w:w="100" w:type="dxa"/>
              <w:left w:w="120" w:type="dxa"/>
              <w:right w:w="120" w:type="dxa"/>
            </w:tcMar>
            <w:shd w:fill="F7FAFC"/>
          </w:tcPr>
          <w:p>
            <w:pPr>
              <w:spacing w:before="40" w:after="40" w:line="252" w:lineRule="auto"/>
            </w:pPr>
            <w:r>
              <w:rPr>
                <w:rFonts w:ascii="Calibri" w:hAnsi="Calibri"/>
                <w:color w:val="2D3748"/>
                <w:sz w:val="17"/>
              </w:rPr>
              <w:t>Render Bellek Akışı</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Azure Apps + Blob Storage</w:t>
            </w:r>
          </w:p>
        </w:tc>
      </w:tr>
      <w:tr>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6. Kalıcılık / Veri Erişimi (ORM)</w:t>
            </w:r>
          </w:p>
        </w:tc>
        <w:tc>
          <w:tcPr>
            <w:tcW w:type="dxa" w:w="2160"/>
            <w:tcMar>
              <w:top w:w="100" w:type="dxa"/>
              <w:bottom w:w="100" w:type="dxa"/>
              <w:left w:w="120" w:type="dxa"/>
              <w:right w:w="120" w:type="dxa"/>
            </w:tcMar>
            <w:shd w:fill="FFFFFF"/>
          </w:tcPr>
          <w:p>
            <w:pPr>
              <w:spacing w:before="40" w:after="40" w:line="252" w:lineRule="auto"/>
            </w:pPr>
            <w:r>
              <w:rPr>
                <w:rFonts w:ascii="Calibri" w:hAnsi="Calibri"/>
                <w:color w:val="2D3748"/>
                <w:sz w:val="17"/>
              </w:rPr>
              <w:t>Parametrik SQL sorguları, ORM ilişkileri, temsilci izolasyon filtreleri.</w:t>
            </w:r>
          </w:p>
        </w:tc>
        <w:tc>
          <w:tcPr>
            <w:tcW w:type="dxa" w:w="1584"/>
            <w:tcMar>
              <w:top w:w="100" w:type="dxa"/>
              <w:bottom w:w="100" w:type="dxa"/>
              <w:left w:w="120" w:type="dxa"/>
              <w:right w:w="120" w:type="dxa"/>
            </w:tcMar>
            <w:shd w:fill="FFFFFF"/>
          </w:tcPr>
          <w:p>
            <w:pPr>
              <w:spacing w:before="40" w:after="40" w:line="252" w:lineRule="auto"/>
            </w:pPr>
            <w:r>
              <w:rPr>
                <w:rFonts w:ascii="Calibri" w:hAnsi="Calibri"/>
                <w:color w:val="2D3748"/>
                <w:sz w:val="17"/>
              </w:rPr>
              <w:t>Java 21</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Spring Data JPA, Hibernate, HikariCP</w:t>
            </w:r>
          </w:p>
        </w:tc>
        <w:tc>
          <w:tcPr>
            <w:tcW w:type="dxa" w:w="1440"/>
            <w:tcMar>
              <w:top w:w="100" w:type="dxa"/>
              <w:bottom w:w="100" w:type="dxa"/>
              <w:left w:w="120" w:type="dxa"/>
              <w:right w:w="120" w:type="dxa"/>
            </w:tcMar>
            <w:shd w:fill="FFFFFF"/>
          </w:tcPr>
          <w:p>
            <w:pPr>
              <w:spacing w:before="40" w:after="40" w:line="252" w:lineRule="auto"/>
            </w:pPr>
            <w:r>
              <w:rPr>
                <w:rFonts w:ascii="Calibri" w:hAnsi="Calibri"/>
                <w:color w:val="2D3748"/>
                <w:sz w:val="17"/>
              </w:rPr>
              <w:t>Render Runtime</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Azure Container Apps</w:t>
            </w:r>
          </w:p>
        </w:tc>
      </w:tr>
      <w:tr>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7. Veritabanı &amp; Şema Sürümleme</w:t>
            </w:r>
          </w:p>
        </w:tc>
        <w:tc>
          <w:tcPr>
            <w:tcW w:type="dxa" w:w="2160"/>
            <w:tcMar>
              <w:top w:w="100" w:type="dxa"/>
              <w:bottom w:w="100" w:type="dxa"/>
              <w:left w:w="120" w:type="dxa"/>
              <w:right w:w="120" w:type="dxa"/>
            </w:tcMar>
            <w:shd w:fill="F7FAFC"/>
          </w:tcPr>
          <w:p>
            <w:pPr>
              <w:spacing w:before="40" w:after="40" w:line="252" w:lineRule="auto"/>
            </w:pPr>
            <w:r>
              <w:rPr>
                <w:rFonts w:ascii="Calibri" w:hAnsi="Calibri"/>
                <w:color w:val="2D3748"/>
                <w:sz w:val="17"/>
              </w:rPr>
              <w:t>ACID uyumlu ilişkisel veri, Flyway ile otomatik tablo göçü.</w:t>
            </w:r>
          </w:p>
        </w:tc>
        <w:tc>
          <w:tcPr>
            <w:tcW w:type="dxa" w:w="1584"/>
            <w:tcMar>
              <w:top w:w="100" w:type="dxa"/>
              <w:bottom w:w="100" w:type="dxa"/>
              <w:left w:w="120" w:type="dxa"/>
              <w:right w:w="120" w:type="dxa"/>
            </w:tcMar>
            <w:shd w:fill="F7FAFC"/>
          </w:tcPr>
          <w:p>
            <w:pPr>
              <w:spacing w:before="40" w:after="40" w:line="252" w:lineRule="auto"/>
            </w:pPr>
            <w:r>
              <w:rPr>
                <w:rFonts w:ascii="Calibri" w:hAnsi="Calibri"/>
                <w:color w:val="2D3748"/>
                <w:sz w:val="17"/>
              </w:rPr>
              <w:t>SQL</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Flyway Migration, PostgreSQL 15+</w:t>
            </w:r>
          </w:p>
        </w:tc>
        <w:tc>
          <w:tcPr>
            <w:tcW w:type="dxa" w:w="1440"/>
            <w:tcMar>
              <w:top w:w="100" w:type="dxa"/>
              <w:bottom w:w="100" w:type="dxa"/>
              <w:left w:w="120" w:type="dxa"/>
              <w:right w:w="120" w:type="dxa"/>
            </w:tcMar>
            <w:shd w:fill="F7FAFC"/>
          </w:tcPr>
          <w:p>
            <w:pPr>
              <w:spacing w:before="40" w:after="40" w:line="252" w:lineRule="auto"/>
            </w:pPr>
            <w:r>
              <w:rPr>
                <w:rFonts w:ascii="Calibri" w:hAnsi="Calibri"/>
                <w:color w:val="2D3748"/>
                <w:sz w:val="17"/>
              </w:rPr>
              <w:t>Supabase Free Tier</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Azure PostgreSQL Flexible</w:t>
            </w:r>
          </w:p>
        </w:tc>
      </w:tr>
      <w:tr>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8. Konteyner &amp; DevOps</w:t>
            </w:r>
          </w:p>
        </w:tc>
        <w:tc>
          <w:tcPr>
            <w:tcW w:type="dxa" w:w="2160"/>
            <w:tcMar>
              <w:top w:w="100" w:type="dxa"/>
              <w:bottom w:w="100" w:type="dxa"/>
              <w:left w:w="120" w:type="dxa"/>
              <w:right w:w="120" w:type="dxa"/>
            </w:tcMar>
            <w:shd w:fill="FFFFFF"/>
          </w:tcPr>
          <w:p>
            <w:pPr>
              <w:spacing w:before="40" w:after="40" w:line="252" w:lineRule="auto"/>
            </w:pPr>
            <w:r>
              <w:rPr>
                <w:rFonts w:ascii="Calibri" w:hAnsi="Calibri"/>
                <w:color w:val="2D3748"/>
                <w:sz w:val="17"/>
              </w:rPr>
              <w:t>İzole, hafif ve taşınabilir multi-stage konteyner altyapısı.</w:t>
            </w:r>
          </w:p>
        </w:tc>
        <w:tc>
          <w:tcPr>
            <w:tcW w:type="dxa" w:w="1584"/>
            <w:tcMar>
              <w:top w:w="100" w:type="dxa"/>
              <w:bottom w:w="100" w:type="dxa"/>
              <w:left w:w="120" w:type="dxa"/>
              <w:right w:w="120" w:type="dxa"/>
            </w:tcMar>
            <w:shd w:fill="FFFFFF"/>
          </w:tcPr>
          <w:p>
            <w:pPr>
              <w:spacing w:before="40" w:after="40" w:line="252" w:lineRule="auto"/>
            </w:pPr>
            <w:r>
              <w:rPr>
                <w:rFonts w:ascii="Calibri" w:hAnsi="Calibri"/>
                <w:color w:val="2D3748"/>
                <w:sz w:val="17"/>
              </w:rPr>
              <w:t>Dockerfile</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Docker (Temurin 21 JRE Alpine)</w:t>
            </w:r>
          </w:p>
        </w:tc>
        <w:tc>
          <w:tcPr>
            <w:tcW w:type="dxa" w:w="1440"/>
            <w:tcMar>
              <w:top w:w="100" w:type="dxa"/>
              <w:bottom w:w="100" w:type="dxa"/>
              <w:left w:w="120" w:type="dxa"/>
              <w:right w:w="120" w:type="dxa"/>
            </w:tcMar>
            <w:shd w:fill="FFFFFF"/>
          </w:tcPr>
          <w:p>
            <w:pPr>
              <w:spacing w:before="40" w:after="40" w:line="252" w:lineRule="auto"/>
            </w:pPr>
            <w:r>
              <w:rPr>
                <w:rFonts w:ascii="Calibri" w:hAnsi="Calibri"/>
                <w:color w:val="2D3748"/>
                <w:sz w:val="17"/>
              </w:rPr>
              <w:t>Render Docker</w:t>
            </w:r>
          </w:p>
        </w:tc>
        <w:tc>
          <w:tcPr>
            <w:tcW w:type="dxa" w:w="1728"/>
            <w:tcMar>
              <w:top w:w="100" w:type="dxa"/>
              <w:bottom w:w="100" w:type="dxa"/>
              <w:left w:w="120" w:type="dxa"/>
              <w:right w:w="120" w:type="dxa"/>
            </w:tcMar>
            <w:shd w:fill="FFFFFF"/>
          </w:tcPr>
          <w:p>
            <w:pPr>
              <w:spacing w:before="40" w:after="40" w:line="252" w:lineRule="auto"/>
            </w:pPr>
            <w:r>
              <w:rPr>
                <w:rFonts w:ascii="Calibri" w:hAnsi="Calibri"/>
                <w:color w:val="2D3748"/>
                <w:sz w:val="17"/>
              </w:rPr>
              <w:t>Azure ACR + Container Apps</w:t>
            </w:r>
          </w:p>
        </w:tc>
      </w:tr>
      <w:tr>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9. Sağlık &amp; Keep-Alive</w:t>
            </w:r>
          </w:p>
        </w:tc>
        <w:tc>
          <w:tcPr>
            <w:tcW w:type="dxa" w:w="2160"/>
            <w:tcMar>
              <w:top w:w="100" w:type="dxa"/>
              <w:bottom w:w="100" w:type="dxa"/>
              <w:left w:w="120" w:type="dxa"/>
              <w:right w:w="120" w:type="dxa"/>
            </w:tcMar>
            <w:shd w:fill="F7FAFC"/>
          </w:tcPr>
          <w:p>
            <w:pPr>
              <w:spacing w:before="40" w:after="40" w:line="252" w:lineRule="auto"/>
            </w:pPr>
            <w:r>
              <w:rPr>
                <w:rFonts w:ascii="Calibri" w:hAnsi="Calibri"/>
                <w:color w:val="2D3748"/>
                <w:sz w:val="17"/>
              </w:rPr>
              <w:t>Ücretsiz sunucu soğuk başlangıcını (cold start) engelleme, sağlık kontrolü.</w:t>
            </w:r>
          </w:p>
        </w:tc>
        <w:tc>
          <w:tcPr>
            <w:tcW w:type="dxa" w:w="1584"/>
            <w:tcMar>
              <w:top w:w="100" w:type="dxa"/>
              <w:bottom w:w="100" w:type="dxa"/>
              <w:left w:w="120" w:type="dxa"/>
              <w:right w:w="120" w:type="dxa"/>
            </w:tcMar>
            <w:shd w:fill="F7FAFC"/>
          </w:tcPr>
          <w:p>
            <w:pPr>
              <w:spacing w:before="40" w:after="40" w:line="252" w:lineRule="auto"/>
            </w:pPr>
            <w:r>
              <w:rPr>
                <w:rFonts w:ascii="Calibri" w:hAnsi="Calibri"/>
                <w:color w:val="2D3748"/>
                <w:sz w:val="17"/>
              </w:rPr>
              <w:t>HTTP / JSON</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Spring Boot Actuator</w:t>
            </w:r>
          </w:p>
        </w:tc>
        <w:tc>
          <w:tcPr>
            <w:tcW w:type="dxa" w:w="1440"/>
            <w:tcMar>
              <w:top w:w="100" w:type="dxa"/>
              <w:bottom w:w="100" w:type="dxa"/>
              <w:left w:w="120" w:type="dxa"/>
              <w:right w:w="120" w:type="dxa"/>
            </w:tcMar>
            <w:shd w:fill="F7FAFC"/>
          </w:tcPr>
          <w:p>
            <w:pPr>
              <w:spacing w:before="40" w:after="40" w:line="252" w:lineRule="auto"/>
            </w:pPr>
            <w:r>
              <w:rPr>
                <w:rFonts w:ascii="Calibri" w:hAnsi="Calibri"/>
                <w:color w:val="2D3748"/>
                <w:sz w:val="17"/>
              </w:rPr>
              <w:t>UptimeRobot (Ping)</w:t>
            </w:r>
          </w:p>
        </w:tc>
        <w:tc>
          <w:tcPr>
            <w:tcW w:type="dxa" w:w="1728"/>
            <w:tcMar>
              <w:top w:w="100" w:type="dxa"/>
              <w:bottom w:w="100" w:type="dxa"/>
              <w:left w:w="120" w:type="dxa"/>
              <w:right w:w="120" w:type="dxa"/>
            </w:tcMar>
            <w:shd w:fill="F7FAFC"/>
          </w:tcPr>
          <w:p>
            <w:pPr>
              <w:spacing w:before="40" w:after="40" w:line="252" w:lineRule="auto"/>
            </w:pPr>
            <w:r>
              <w:rPr>
                <w:rFonts w:ascii="Calibri" w:hAnsi="Calibri"/>
                <w:color w:val="2D3748"/>
                <w:sz w:val="17"/>
              </w:rPr>
              <w:t>Azure App Insights</w:t>
            </w:r>
          </w:p>
        </w:tc>
      </w:tr>
    </w:tbl>
    <w:p>
      <w:pPr>
        <w:keepNext/>
        <w:spacing w:before="360" w:after="120"/>
      </w:pPr>
      <w:r>
        <w:rPr>
          <w:rFonts w:ascii="Calibri" w:hAnsi="Calibri"/>
          <w:b/>
          <w:color w:val="1A365D"/>
          <w:sz w:val="28"/>
        </w:rPr>
        <w:t>2. Detaylı Katman Tasarımı ve Sorumluluk Dağılımı</w:t>
      </w:r>
    </w:p>
    <w:p>
      <w:pPr>
        <w:keepNext/>
        <w:spacing w:before="240" w:after="80"/>
      </w:pPr>
      <w:r>
        <w:rPr>
          <w:rFonts w:ascii="Calibri" w:hAnsi="Calibri"/>
          <w:b/>
          <w:color w:val="3182CE"/>
          <w:sz w:val="24"/>
        </w:rPr>
        <w:t>Katman 1: Sunum ve İstemci Katmanı (Frontend Presentation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Temsilcinin arabada veya müşteri kapısında 17 kolonluk Excel formunu 3 tıkla doldurabileceği Hızlı Ziyaret Modu sunmak. Yöneticiler için filtrelenebilir Dashboard, Müşteri Portföyü ve Numune Takip Masası sağlamak. PWA (Progressive Web App) altyapısıyla masaüstü ve telefona tek tıkla uygulama olarak yüklenebilmek.</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TypeScript, React 18+, Vite, Tailwind CSS, Lucide React, Axios.</w:t>
      </w:r>
    </w:p>
    <w:p>
      <w:pPr>
        <w:keepNext/>
        <w:spacing w:before="240" w:after="80"/>
      </w:pPr>
      <w:r>
        <w:rPr>
          <w:rFonts w:ascii="Calibri" w:hAnsi="Calibri"/>
          <w:b/>
          <w:color w:val="3182CE"/>
          <w:sz w:val="24"/>
        </w:rPr>
        <w:t>Katman 2: API ve Denetleyici Katmanı (REST Controller &amp; DTO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İstemciden gelen HTTP isteklerini kabul etmek, girdi doğrulamak (Jakarta Validation) ve standart JSON zarfı (ApiResponse) ile dönmek. Entity nesnelerini dışarıya asla açmaz; DTO ayrımıyla API sözleşmesini korur.</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Java 21, Spring Boot Web (Spring MVC), jakarta.validation-api, hibernate-validator.</w:t>
      </w:r>
    </w:p>
    <w:p>
      <w:pPr>
        <w:keepNext/>
        <w:spacing w:before="240" w:after="80"/>
      </w:pPr>
      <w:r>
        <w:rPr>
          <w:rFonts w:ascii="Calibri" w:hAnsi="Calibri"/>
          <w:b/>
          <w:color w:val="3182CE"/>
          <w:sz w:val="24"/>
        </w:rPr>
        <w:t>Katman 3: Güvenlik, Kimlik Doğrulama &amp; İzolasyon Katmanı (Security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Stateless JWT doğrulaması, BCrypt parola şifreleme, Rol Tabanlı Erişim (ROLE_ADMIN, ROLE_SALES_REP) ve veri izolasyonu. Bir temsilci başka bir temsilcinin müşterisini veya ziyaretini URL üzerinden dahi çekemez.</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Spring Security 6.x, io.jsonwebtoken (jjwt-api, jjwt-impl, jjwt-jackson), BCrypt.</w:t>
      </w:r>
    </w:p>
    <w:p>
      <w:pPr>
        <w:keepNext/>
        <w:spacing w:before="240" w:after="80"/>
      </w:pPr>
      <w:r>
        <w:rPr>
          <w:rFonts w:ascii="Calibri" w:hAnsi="Calibri"/>
          <w:b/>
          <w:color w:val="3182CE"/>
          <w:sz w:val="24"/>
        </w:rPr>
        <w:t>Katman 4: Çekirdek İş Mantığı Katmanı (Business Logic &amp; Service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Excel'deki 17 kolonu koordine eden iş kuralları: Müşteri-Yetkili ilişkisi, ziyaret kaydedilirken numune bırakıldıysa otomatik Numune Takip nesnesi oluşturulması, teklife dönüşüm takibi ve sonraki randevu ajandası. Tüm kritik süreçler @Transactional ile ACID garantilidir.</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Java 21, Spring Service katmanı.</w:t>
      </w:r>
    </w:p>
    <w:p>
      <w:pPr>
        <w:keepNext/>
        <w:spacing w:before="240" w:after="80"/>
      </w:pPr>
      <w:r>
        <w:rPr>
          <w:rFonts w:ascii="Calibri" w:hAnsi="Calibri"/>
          <w:b/>
          <w:color w:val="3182CE"/>
          <w:sz w:val="24"/>
        </w:rPr>
        <w:t>Katman 5: Excel ve Entegrasyon Katmanı (Excel Processing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Excel Import (sahadaki mevcut 17 kolonluk Excel'i yükleyerek müşteri ve geçmiş verileri veritabanına aktarma) ve Excel Export (istenilen tarih ve temsilci filtresine göre anlık 17 kolonluk şablon formatında .xlsx üretme).</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Apache POI (poi-ooxml), SXSSFWorkbook (düşük bellek tüketimli streaming yazıcı).</w:t>
      </w:r>
    </w:p>
    <w:p>
      <w:pPr>
        <w:keepNext/>
        <w:spacing w:before="240" w:after="80"/>
      </w:pPr>
      <w:r>
        <w:rPr>
          <w:rFonts w:ascii="Calibri" w:hAnsi="Calibri"/>
          <w:b/>
          <w:color w:val="3182CE"/>
          <w:sz w:val="24"/>
        </w:rPr>
        <w:t>Katman 6: Veri Kalıcılığı ve ORM Katmanı (Data Access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PostgreSQL ile nesne haritalaması, SQL Injection'ı önleyen parametrik sorgular, temsilci izolasyonlu sorgular (findByAssignedUserId) ve sayfalama (Pageable).</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Spring Data JPA, Hibernate ORM, HikariCP (Bağlantı havuzu boyutu: 5-10).</w:t>
      </w:r>
    </w:p>
    <w:p>
      <w:pPr>
        <w:keepNext/>
        <w:spacing w:before="240" w:after="80"/>
      </w:pPr>
      <w:r>
        <w:rPr>
          <w:rFonts w:ascii="Calibri" w:hAnsi="Calibri"/>
          <w:b/>
          <w:color w:val="3182CE"/>
          <w:sz w:val="24"/>
        </w:rPr>
        <w:t>Katman 7: Veritabanı ve Şema Sürümleme Katmanı (Database &amp; Migration Layer)</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ACID uyumlu ilişkisel veri depolama. Tablolar kesinlikle arayüzden elle açılmaz; Flyway SQL scriptleri (V1__init_schema.sql) ile kod tabanında tutulur. Azure DB açıldığında şema saniyeler içinde otomatik ayağa kalkar.</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PostgreSQL 15+, Flyway Migration. (PoC: Supabase Free Tier | Prod: Azure PostgreSQL Flexible).</w:t>
      </w:r>
    </w:p>
    <w:p>
      <w:pPr>
        <w:keepNext/>
        <w:spacing w:before="240" w:after="80"/>
      </w:pPr>
      <w:r>
        <w:rPr>
          <w:rFonts w:ascii="Calibri" w:hAnsi="Calibri"/>
          <w:b/>
          <w:color w:val="3182CE"/>
          <w:sz w:val="24"/>
        </w:rPr>
        <w:t>Katman 8: DevOps, Konteynerizasyon ve Dağıtım Katmanı (DevOps &amp; Hosting)</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12-Factor App uyumluluğu (sıfır hardcoded şifre/URL, sadece Environment Variables). Multi-stage Dockerfile ile ~180 MB optimize imaj üretimi. Yerel ortamda, Render'da ve Azure Container Apps'te birebir aynı çalışma garantisi.</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Docker, Render.com (Backend), Vercel (Frontend), Azure Container Apps (Gelecek hedef).</w:t>
      </w:r>
    </w:p>
    <w:p>
      <w:pPr>
        <w:keepNext/>
        <w:spacing w:before="240" w:after="80"/>
      </w:pPr>
      <w:r>
        <w:rPr>
          <w:rFonts w:ascii="Calibri" w:hAnsi="Calibri"/>
          <w:b/>
          <w:color w:val="3182CE"/>
          <w:sz w:val="24"/>
        </w:rPr>
        <w:t>Katman 9: Gözlemlenebilirlik ve Keep-Alive Katmanı (Health &amp; Uptime)</w:t>
      </w:r>
    </w:p>
    <w:p>
      <w:pPr>
        <w:pStyle w:val="ListBullet"/>
        <w:spacing w:before="20" w:after="60" w:line="276" w:lineRule="auto"/>
      </w:pPr>
      <w:r>
        <w:rPr>
          <w:rFonts w:ascii="Calibri" w:hAnsi="Calibri"/>
          <w:b/>
          <w:color w:val="2D3748"/>
          <w:sz w:val="21"/>
        </w:rPr>
        <w:t xml:space="preserve">Temel Görevi: </w:t>
      </w:r>
      <w:r>
        <w:rPr>
          <w:rFonts w:ascii="Calibri" w:hAnsi="Calibri"/>
          <w:color w:val="2D3748"/>
          <w:sz w:val="21"/>
        </w:rPr>
        <w:t>Render ücretsiz katmanında 15 dakika hareketsizlik sonrası oluşan uyku modunu (spin-down / 50 saniyelik cold start) UptimeRobot ile 5 dakikada bir /actuator/health uç noktasına GET isteği atarak sıfırlamak; sistemi 7/24 sıcak ve anında açılır tutmak.</w:t>
      </w:r>
    </w:p>
    <w:p>
      <w:pPr>
        <w:pStyle w:val="ListBullet"/>
        <w:spacing w:before="20" w:after="60" w:line="276" w:lineRule="auto"/>
      </w:pPr>
      <w:r>
        <w:rPr>
          <w:rFonts w:ascii="Calibri" w:hAnsi="Calibri"/>
          <w:b/>
          <w:color w:val="2D3748"/>
          <w:sz w:val="21"/>
        </w:rPr>
        <w:t xml:space="preserve">Kullanılacak Teknolojiler: </w:t>
      </w:r>
      <w:r>
        <w:rPr>
          <w:rFonts w:ascii="Calibri" w:hAnsi="Calibri"/>
          <w:color w:val="2D3748"/>
          <w:sz w:val="21"/>
        </w:rPr>
        <w:t>Spring Boot Actuator, UptimeRobot.</w:t>
      </w:r>
    </w:p>
    <w:p>
      <w:pPr>
        <w:keepNext/>
        <w:spacing w:before="360" w:after="120"/>
      </w:pPr>
      <w:r>
        <w:rPr>
          <w:rFonts w:ascii="Calibri" w:hAnsi="Calibri"/>
          <w:b/>
          <w:color w:val="1A365D"/>
          <w:sz w:val="28"/>
        </w:rPr>
        <w:t>3. Katmanlar Arası Uçtan Uca Veri Akışı (Saha Ziyareti Senaryosu)</w:t>
      </w:r>
    </w:p>
    <w:p>
      <w:pPr>
        <w:spacing w:before="40" w:after="80" w:line="276" w:lineRule="auto"/>
      </w:pPr>
      <w:r>
        <w:rPr>
          <w:rFonts w:ascii="Calibri" w:hAnsi="Calibri"/>
          <w:color w:val="2D3748"/>
          <w:sz w:val="21"/>
        </w:rPr>
        <w:t>Saha temsilcisi bir müşteriye gidip numune bıraktığında verinin katmanlar arasındaki akışı şu şekildedir:</w:t>
      </w:r>
    </w:p>
    <w:p>
      <w:pPr>
        <w:pStyle w:val="ListBullet"/>
        <w:spacing w:before="20" w:after="60" w:line="276" w:lineRule="auto"/>
      </w:pPr>
      <w:r>
        <w:rPr>
          <w:rFonts w:ascii="Calibri" w:hAnsi="Calibri"/>
          <w:b/>
          <w:color w:val="2D3748"/>
          <w:sz w:val="21"/>
        </w:rPr>
        <w:t xml:space="preserve">1. Adım (Sunum): </w:t>
      </w:r>
      <w:r>
        <w:rPr>
          <w:rFonts w:ascii="Calibri" w:hAnsi="Calibri"/>
          <w:color w:val="2D3748"/>
          <w:sz w:val="21"/>
        </w:rPr>
        <w:t>Temsilci mobil ekranda müşteriyi seçer, 'Numune Verildi' switch'ini açar, ürün ve adedi seçip kaydeder.</w:t>
      </w:r>
    </w:p>
    <w:p>
      <w:pPr>
        <w:pStyle w:val="ListBullet"/>
        <w:spacing w:before="20" w:after="60" w:line="276" w:lineRule="auto"/>
      </w:pPr>
      <w:r>
        <w:rPr>
          <w:rFonts w:ascii="Calibri" w:hAnsi="Calibri"/>
          <w:b/>
          <w:color w:val="2D3748"/>
          <w:sz w:val="21"/>
        </w:rPr>
        <w:t xml:space="preserve">2. Adım (Ağ &amp; Güvenlik): </w:t>
      </w:r>
      <w:r>
        <w:rPr>
          <w:rFonts w:ascii="Calibri" w:hAnsi="Calibri"/>
          <w:color w:val="2D3748"/>
          <w:sz w:val="21"/>
        </w:rPr>
        <w:t>React SPA, Axios ile Authorization: Bearer &lt;JWT&gt; başlığı ekleyerek POST /api/v1/visits isteği gönderir.</w:t>
      </w:r>
    </w:p>
    <w:p>
      <w:pPr>
        <w:pStyle w:val="ListBullet"/>
        <w:spacing w:before="20" w:after="60" w:line="276" w:lineRule="auto"/>
      </w:pPr>
      <w:r>
        <w:rPr>
          <w:rFonts w:ascii="Calibri" w:hAnsi="Calibri"/>
          <w:b/>
          <w:color w:val="2D3748"/>
          <w:sz w:val="21"/>
        </w:rPr>
        <w:t xml:space="preserve">3. Adım (Yetkilendirme): </w:t>
      </w:r>
      <w:r>
        <w:rPr>
          <w:rFonts w:ascii="Calibri" w:hAnsi="Calibri"/>
          <w:color w:val="2D3748"/>
          <w:sz w:val="21"/>
        </w:rPr>
        <w:t>Spring Security isteği yakalar, JWT imzasını doğrular, temsilcinin kimliğini ve SALES_REP rolünü Context'e yerleştirir.</w:t>
      </w:r>
    </w:p>
    <w:p>
      <w:pPr>
        <w:pStyle w:val="ListBullet"/>
        <w:spacing w:before="20" w:after="60" w:line="276" w:lineRule="auto"/>
      </w:pPr>
      <w:r>
        <w:rPr>
          <w:rFonts w:ascii="Calibri" w:hAnsi="Calibri"/>
          <w:b/>
          <w:color w:val="2D3748"/>
          <w:sz w:val="21"/>
        </w:rPr>
        <w:t xml:space="preserve">4. Adım (API &amp; Validasyon): </w:t>
      </w:r>
      <w:r>
        <w:rPr>
          <w:rFonts w:ascii="Calibri" w:hAnsi="Calibri"/>
          <w:color w:val="2D3748"/>
          <w:sz w:val="21"/>
        </w:rPr>
        <w:t>VisitController @Valid anotasyonu ile gelen DTO'nun zorunlu alanlarını doğrular.</w:t>
      </w:r>
    </w:p>
    <w:p>
      <w:pPr>
        <w:pStyle w:val="ListBullet"/>
        <w:spacing w:before="20" w:after="60" w:line="276" w:lineRule="auto"/>
      </w:pPr>
      <w:r>
        <w:rPr>
          <w:rFonts w:ascii="Calibri" w:hAnsi="Calibri"/>
          <w:b/>
          <w:color w:val="2D3748"/>
          <w:sz w:val="21"/>
        </w:rPr>
        <w:t xml:space="preserve">5. Adım (İş Mantığı): </w:t>
      </w:r>
      <w:r>
        <w:rPr>
          <w:rFonts w:ascii="Calibri" w:hAnsi="Calibri"/>
          <w:color w:val="2D3748"/>
          <w:sz w:val="21"/>
        </w:rPr>
        <w:t>VisitService temsilcinin bu firmaya yetkili olduğunu doğrular. Ziyaret kaydını ve bağlı Numune kaydını 'BEKLEMEDE' statüsüyle tek bir işlemde hazırlar.</w:t>
      </w:r>
    </w:p>
    <w:p>
      <w:pPr>
        <w:pStyle w:val="ListBullet"/>
        <w:spacing w:before="20" w:after="60" w:line="276" w:lineRule="auto"/>
      </w:pPr>
      <w:r>
        <w:rPr>
          <w:rFonts w:ascii="Calibri" w:hAnsi="Calibri"/>
          <w:b/>
          <w:color w:val="2D3748"/>
          <w:sz w:val="21"/>
        </w:rPr>
        <w:t xml:space="preserve">6. Adım (Veri Erişimi): </w:t>
      </w:r>
      <w:r>
        <w:rPr>
          <w:rFonts w:ascii="Calibri" w:hAnsi="Calibri"/>
          <w:color w:val="2D3748"/>
          <w:sz w:val="21"/>
        </w:rPr>
        <w:t>JPA Repository parametrik SQL sorgularını Hibernate üzerinden veritabanına iletir.</w:t>
      </w:r>
    </w:p>
    <w:p>
      <w:pPr>
        <w:pStyle w:val="ListBullet"/>
        <w:spacing w:before="20" w:after="60" w:line="276" w:lineRule="auto"/>
      </w:pPr>
      <w:r>
        <w:rPr>
          <w:rFonts w:ascii="Calibri" w:hAnsi="Calibri"/>
          <w:b/>
          <w:color w:val="2D3748"/>
          <w:sz w:val="21"/>
        </w:rPr>
        <w:t xml:space="preserve">7. Adım (Kalıcılık): </w:t>
      </w:r>
      <w:r>
        <w:rPr>
          <w:rFonts w:ascii="Calibri" w:hAnsi="Calibri"/>
          <w:color w:val="2D3748"/>
          <w:sz w:val="21"/>
        </w:rPr>
        <w:t>PostgreSQL işlemi tamamlar. Dönen kimliklerle VisitResponseDTO oluşturulur ve istemciye HTTP 201 Created döner.</w:t>
      </w:r>
    </w:p>
    <w:p>
      <w:pPr>
        <w:keepNext/>
        <w:spacing w:before="360" w:after="120"/>
      </w:pPr>
      <w:r>
        <w:rPr>
          <w:rFonts w:ascii="Calibri" w:hAnsi="Calibri"/>
          <w:b/>
          <w:color w:val="1A365D"/>
          <w:sz w:val="28"/>
        </w:rPr>
        <w:t>4. PoC'den Azure Kurumsal Ortamına Geçiş Mimarisi</w:t>
      </w:r>
    </w:p>
    <w:p>
      <w:pPr>
        <w:spacing w:before="40" w:after="80" w:line="276" w:lineRule="auto"/>
      </w:pPr>
      <w:r>
        <w:rPr>
          <w:rFonts w:ascii="Calibri" w:hAnsi="Calibri"/>
          <w:color w:val="2D3748"/>
          <w:sz w:val="21"/>
        </w:rPr>
        <w:t>Geliştirilecek sistemin en büyük mühendislik gücü, ürün müşteriye sunulup satış kapandığında Azure ortamına taşınırken uygulama kodunda hiçbir değişiklik gerektirmemesidir. Yalnızca ortam değişkenleri (Environment Variables) güncellenecektir:</w:t>
      </w:r>
    </w:p>
    <w:tbl>
      <w:tblPr>
        <w:tblW w:type="auto" w:w="0"/>
        <w:jc w:val="center"/>
        <w:tblLayout w:type="fixed"/>
        <w:tblLook w:firstColumn="1" w:firstRow="1" w:lastColumn="0" w:lastRow="0" w:noHBand="0" w:noVBand="1" w:val="04A0"/>
      </w:tblPr>
      <w:tblGrid>
        <w:gridCol w:w="3120"/>
        <w:gridCol w:w="3120"/>
        <w:gridCol w:w="3120"/>
      </w:tblGrid>
      <w:tr>
        <w:tc>
          <w:tcPr>
            <w:tcW w:type="dxa" w:w="2880"/>
            <w:tcMar>
              <w:top w:w="100" w:type="dxa"/>
              <w:bottom w:w="100" w:type="dxa"/>
              <w:left w:w="120" w:type="dxa"/>
              <w:right w:w="120" w:type="dxa"/>
            </w:tcMar>
            <w:shd w:fill="1A365D"/>
          </w:tcPr>
          <w:p>
            <w:pPr>
              <w:spacing w:before="40" w:after="40"/>
            </w:pPr>
            <w:r>
              <w:rPr>
                <w:rFonts w:ascii="Calibri" w:hAnsi="Calibri"/>
                <w:b/>
                <w:color w:val="FFFFFF"/>
                <w:sz w:val="19"/>
              </w:rPr>
              <w:t>Konfigürasyon Parametresi</w:t>
            </w:r>
          </w:p>
        </w:tc>
        <w:tc>
          <w:tcPr>
            <w:tcW w:type="dxa" w:w="3888"/>
            <w:tcMar>
              <w:top w:w="100" w:type="dxa"/>
              <w:bottom w:w="100" w:type="dxa"/>
              <w:left w:w="120" w:type="dxa"/>
              <w:right w:w="120" w:type="dxa"/>
            </w:tcMar>
            <w:shd w:fill="1A365D"/>
          </w:tcPr>
          <w:p>
            <w:pPr>
              <w:spacing w:before="40" w:after="40"/>
            </w:pPr>
            <w:r>
              <w:rPr>
                <w:rFonts w:ascii="Calibri" w:hAnsi="Calibri"/>
                <w:b/>
                <w:color w:val="FFFFFF"/>
                <w:sz w:val="19"/>
              </w:rPr>
              <w:t>Sıfır Maliyetli PoC Değeri ($0)</w:t>
            </w:r>
          </w:p>
        </w:tc>
        <w:tc>
          <w:tcPr>
            <w:tcW w:type="dxa" w:w="3888"/>
            <w:tcMar>
              <w:top w:w="100" w:type="dxa"/>
              <w:bottom w:w="100" w:type="dxa"/>
              <w:left w:w="120" w:type="dxa"/>
              <w:right w:w="120" w:type="dxa"/>
            </w:tcMar>
            <w:shd w:fill="1A365D"/>
          </w:tcPr>
          <w:p>
            <w:pPr>
              <w:spacing w:before="40" w:after="40"/>
            </w:pPr>
            <w:r>
              <w:rPr>
                <w:rFonts w:ascii="Calibri" w:hAnsi="Calibri"/>
                <w:b/>
                <w:color w:val="FFFFFF"/>
                <w:sz w:val="19"/>
              </w:rPr>
              <w:t>Azure Kurumsal Üretim Değeri (Enterprise)</w:t>
            </w:r>
          </w:p>
        </w:tc>
      </w:tr>
      <w:tr>
        <w:tc>
          <w:tcPr>
            <w:tcW w:type="dxa" w:w="2880"/>
            <w:tcMar>
              <w:top w:w="100" w:type="dxa"/>
              <w:bottom w:w="100" w:type="dxa"/>
              <w:left w:w="120" w:type="dxa"/>
              <w:right w:w="120" w:type="dxa"/>
            </w:tcMar>
            <w:shd w:fill="F7FAFC"/>
          </w:tcPr>
          <w:p>
            <w:pPr>
              <w:spacing w:before="40" w:after="40"/>
            </w:pPr>
            <w:r>
              <w:rPr>
                <w:rFonts w:ascii="Calibri" w:hAnsi="Calibri"/>
                <w:color w:val="2D3748"/>
                <w:sz w:val="17"/>
              </w:rPr>
              <w:t>DB_URL</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jdbc:postgresql://db.supabase.co:5432/postgres</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jdbc:postgresql://crm-prod.postgres.database.azure.com:5432/crmdb</w:t>
            </w:r>
          </w:p>
        </w:tc>
      </w:tr>
      <w:tr>
        <w:tc>
          <w:tcPr>
            <w:tcW w:type="dxa" w:w="2880"/>
            <w:tcMar>
              <w:top w:w="100" w:type="dxa"/>
              <w:bottom w:w="100" w:type="dxa"/>
              <w:left w:w="120" w:type="dxa"/>
              <w:right w:w="120" w:type="dxa"/>
            </w:tcMar>
            <w:shd w:fill="FFFFFF"/>
          </w:tcPr>
          <w:p>
            <w:pPr>
              <w:spacing w:before="40" w:after="40"/>
            </w:pPr>
            <w:r>
              <w:rPr>
                <w:rFonts w:ascii="Calibri" w:hAnsi="Calibri"/>
                <w:color w:val="2D3748"/>
                <w:sz w:val="17"/>
              </w:rPr>
              <w:t>DB_USER</w:t>
            </w:r>
          </w:p>
        </w:tc>
        <w:tc>
          <w:tcPr>
            <w:tcW w:type="dxa" w:w="3888"/>
            <w:tcMar>
              <w:top w:w="100" w:type="dxa"/>
              <w:bottom w:w="100" w:type="dxa"/>
              <w:left w:w="120" w:type="dxa"/>
              <w:right w:w="120" w:type="dxa"/>
            </w:tcMar>
            <w:shd w:fill="FFFFFF"/>
          </w:tcPr>
          <w:p>
            <w:pPr>
              <w:spacing w:before="40" w:after="40"/>
            </w:pPr>
            <w:r>
              <w:rPr>
                <w:rFonts w:ascii="Calibri" w:hAnsi="Calibri"/>
                <w:color w:val="2D3748"/>
                <w:sz w:val="17"/>
              </w:rPr>
              <w:t>postgres.free_pool</w:t>
            </w:r>
          </w:p>
        </w:tc>
        <w:tc>
          <w:tcPr>
            <w:tcW w:type="dxa" w:w="3888"/>
            <w:tcMar>
              <w:top w:w="100" w:type="dxa"/>
              <w:bottom w:w="100" w:type="dxa"/>
              <w:left w:w="120" w:type="dxa"/>
              <w:right w:w="120" w:type="dxa"/>
            </w:tcMar>
            <w:shd w:fill="FFFFFF"/>
          </w:tcPr>
          <w:p>
            <w:pPr>
              <w:spacing w:before="40" w:after="40"/>
            </w:pPr>
            <w:r>
              <w:rPr>
                <w:rFonts w:ascii="Calibri" w:hAnsi="Calibri"/>
                <w:color w:val="2D3748"/>
                <w:sz w:val="17"/>
              </w:rPr>
              <w:t>azure_crm_admin</w:t>
            </w:r>
          </w:p>
        </w:tc>
      </w:tr>
      <w:tr>
        <w:tc>
          <w:tcPr>
            <w:tcW w:type="dxa" w:w="2880"/>
            <w:tcMar>
              <w:top w:w="100" w:type="dxa"/>
              <w:bottom w:w="100" w:type="dxa"/>
              <w:left w:w="120" w:type="dxa"/>
              <w:right w:w="120" w:type="dxa"/>
            </w:tcMar>
            <w:shd w:fill="F7FAFC"/>
          </w:tcPr>
          <w:p>
            <w:pPr>
              <w:spacing w:before="40" w:after="40"/>
            </w:pPr>
            <w:r>
              <w:rPr>
                <w:rFonts w:ascii="Calibri" w:hAnsi="Calibri"/>
                <w:color w:val="2D3748"/>
                <w:sz w:val="17"/>
              </w:rPr>
              <w:t>DB_PASSWORD</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supabase_env_pass</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${AZURE_KEY_VAULT_DB_SECRET}</w:t>
            </w:r>
          </w:p>
        </w:tc>
      </w:tr>
      <w:tr>
        <w:tc>
          <w:tcPr>
            <w:tcW w:type="dxa" w:w="2880"/>
            <w:tcMar>
              <w:top w:w="100" w:type="dxa"/>
              <w:bottom w:w="100" w:type="dxa"/>
              <w:left w:w="120" w:type="dxa"/>
              <w:right w:w="120" w:type="dxa"/>
            </w:tcMar>
            <w:shd w:fill="FFFFFF"/>
          </w:tcPr>
          <w:p>
            <w:pPr>
              <w:spacing w:before="40" w:after="40"/>
            </w:pPr>
            <w:r>
              <w:rPr>
                <w:rFonts w:ascii="Calibri" w:hAnsi="Calibri"/>
                <w:color w:val="2D3748"/>
                <w:sz w:val="17"/>
              </w:rPr>
              <w:t>JWT_SECRET</w:t>
            </w:r>
          </w:p>
        </w:tc>
        <w:tc>
          <w:tcPr>
            <w:tcW w:type="dxa" w:w="3888"/>
            <w:tcMar>
              <w:top w:w="100" w:type="dxa"/>
              <w:bottom w:w="100" w:type="dxa"/>
              <w:left w:w="120" w:type="dxa"/>
              <w:right w:w="120" w:type="dxa"/>
            </w:tcMar>
            <w:shd w:fill="FFFFFF"/>
          </w:tcPr>
          <w:p>
            <w:pPr>
              <w:spacing w:before="40" w:after="40"/>
            </w:pPr>
            <w:r>
              <w:rPr>
                <w:rFonts w:ascii="Calibri" w:hAnsi="Calibri"/>
                <w:color w:val="2D3748"/>
                <w:sz w:val="17"/>
              </w:rPr>
              <w:t>local_render_secret_key_256bit</w:t>
            </w:r>
          </w:p>
        </w:tc>
        <w:tc>
          <w:tcPr>
            <w:tcW w:type="dxa" w:w="3888"/>
            <w:tcMar>
              <w:top w:w="100" w:type="dxa"/>
              <w:bottom w:w="100" w:type="dxa"/>
              <w:left w:w="120" w:type="dxa"/>
              <w:right w:w="120" w:type="dxa"/>
            </w:tcMar>
            <w:shd w:fill="FFFFFF"/>
          </w:tcPr>
          <w:p>
            <w:pPr>
              <w:spacing w:before="40" w:after="40"/>
            </w:pPr>
            <w:r>
              <w:rPr>
                <w:rFonts w:ascii="Calibri" w:hAnsi="Calibri"/>
                <w:color w:val="2D3748"/>
                <w:sz w:val="17"/>
              </w:rPr>
              <w:t>${AZURE_KEY_VAULT_JWT_SECRET}</w:t>
            </w:r>
          </w:p>
        </w:tc>
      </w:tr>
      <w:tr>
        <w:tc>
          <w:tcPr>
            <w:tcW w:type="dxa" w:w="2880"/>
            <w:tcMar>
              <w:top w:w="100" w:type="dxa"/>
              <w:bottom w:w="100" w:type="dxa"/>
              <w:left w:w="120" w:type="dxa"/>
              <w:right w:w="120" w:type="dxa"/>
            </w:tcMar>
            <w:shd w:fill="F7FAFC"/>
          </w:tcPr>
          <w:p>
            <w:pPr>
              <w:spacing w:before="40" w:after="40"/>
            </w:pPr>
            <w:r>
              <w:rPr>
                <w:rFonts w:ascii="Calibri" w:hAnsi="Calibri"/>
                <w:color w:val="2D3748"/>
                <w:sz w:val="17"/>
              </w:rPr>
              <w:t>FRONTEND_URL</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https://akilli-saha-crm.vercel.app</w:t>
            </w:r>
          </w:p>
        </w:tc>
        <w:tc>
          <w:tcPr>
            <w:tcW w:type="dxa" w:w="3888"/>
            <w:tcMar>
              <w:top w:w="100" w:type="dxa"/>
              <w:bottom w:w="100" w:type="dxa"/>
              <w:left w:w="120" w:type="dxa"/>
              <w:right w:w="120" w:type="dxa"/>
            </w:tcMar>
            <w:shd w:fill="F7FAFC"/>
          </w:tcPr>
          <w:p>
            <w:pPr>
              <w:spacing w:before="40" w:after="40"/>
            </w:pPr>
            <w:r>
              <w:rPr>
                <w:rFonts w:ascii="Calibri" w:hAnsi="Calibri"/>
                <w:color w:val="2D3748"/>
                <w:sz w:val="17"/>
              </w:rPr>
              <w:t>https://saha.sirketiniz.com (Custom Domain)</w:t>
            </w:r>
          </w:p>
        </w:tc>
      </w:tr>
    </w:tbl>
    <w:p>
      <w:pPr>
        <w:keepNext/>
        <w:spacing w:before="360" w:after="120"/>
      </w:pPr>
      <w:r>
        <w:rPr>
          <w:rFonts w:ascii="Calibri" w:hAnsi="Calibri"/>
          <w:b/>
          <w:color w:val="1A365D"/>
          <w:sz w:val="28"/>
        </w:rPr>
        <w:t>5. Sonuç ve Uygulama Hazırlığı</w:t>
      </w:r>
    </w:p>
    <w:p>
      <w:pPr>
        <w:spacing w:before="40" w:after="80" w:line="276" w:lineRule="auto"/>
      </w:pPr>
      <w:r>
        <w:rPr>
          <w:rFonts w:ascii="Calibri" w:hAnsi="Calibri"/>
          <w:color w:val="2D3748"/>
          <w:sz w:val="21"/>
        </w:rPr>
        <w:t>Bu mimari rapor; saha satış temsilcisinin Excel çilesini ortadan kaldıran, veri kaybını engelleyen ve şirkete tek kuruş altyapı faturası çıkarmadan canlıya alınan bir ürün vizyonunu ortaya koymaktadır. Kod yazımına başlandığında tüm ekip üyeleri ve modüller bu mimari dokümana sadık kalarak ilerleyecektir.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