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label_detection_results/12_17_19_ch4_spacy.json</w:t>
      </w:r>
    </w:p>
    <w:p>
      <w:pPr>
        <w:pStyle w:val="Heading1"/>
      </w:pPr>
      <w:r>
        <w:t>atom 6</w:t>
      </w:r>
    </w:p>
    <w:p>
      <w:r>
        <w:t xml:space="preserve">Let $M$ be a </w:t>
      </w:r>
      <w:r>
        <w:rPr>
          <w:highlight w:val="darkGreen"/>
        </w:rPr>
        <w:t>Turing machine</w:t>
      </w:r>
      <w:r>
        <w:t xml:space="preserve"> where $Q$ is the </w:t>
      </w:r>
      <w:r>
        <w:rPr>
          <w:highlight w:val="yellow"/>
        </w:rPr>
        <w:t>set of states</w:t>
      </w:r>
      <w:r>
        <w:t xml:space="preserve">, $\blank$ is the </w:t>
      </w:r>
      <w:r>
        <w:rPr>
          <w:highlight w:val="darkGreen"/>
        </w:rPr>
        <w:t>blank symbol</w:t>
      </w:r>
      <w:r>
        <w:t xml:space="preserve">, and $\Gamma$ is the </w:t>
      </w:r>
      <w:r>
        <w:rPr>
          <w:highlight w:val="yellow"/>
        </w:rPr>
        <w:t>tape alphabet</w:t>
      </w:r>
      <w:r/>
      <w:r>
        <w:rPr>
          <w:highlight w:val="red"/>
        </w:rPr>
        <w:t>alphabet</w:t>
      </w:r>
      <w:r>
        <w:t xml:space="preserve">.\footn{Supernerd note: we will always assume $Q$ and $\Gamma$ are disjoint sets.} To understand how $M$'s computation proceeds we generally need to keep track of three things: (i)~the </w:t>
      </w:r>
      <w:r>
        <w:rPr>
          <w:highlight w:val="yellow"/>
        </w:rPr>
        <w:t>state</w:t>
      </w:r>
      <w:r>
        <w:t xml:space="preserve"> $M$ is in; (ii)~the contents of the tape; (iii)~where the tape head is.  These three things are collectively known as the ``</w:t>
      </w:r>
      <w:r>
        <w:rPr>
          <w:highlight w:val="darkGreen"/>
        </w:rPr>
        <w:t>configuration</w:t>
      </w:r>
      <w:r>
        <w:t xml:space="preserve">'' of the </w:t>
      </w:r>
      <w:r>
        <w:rPr>
          <w:highlight w:val="darkGreen"/>
        </w:rPr>
        <w:t>TM</w:t>
      </w:r>
      <w:r>
        <w:t xml:space="preserve">.  More formally: a \defn{configuration} for~$M$ is defined to be a </w:t>
      </w:r>
      <w:r>
        <w:rPr>
          <w:highlight w:val="darkGreen"/>
        </w:rPr>
        <w:t>string</w:t>
      </w:r>
      <w:r>
        <w:t xml:space="preserve"> $uqv \in (\Gamma \cup Q)^*$, where $u, v \in \Gamma^*$ and $q \in Q$. This represents that the tape has contents $\cdots \blank \blank \blank uv \blank \blank \blank \cdots$, the head is pointing at the leftmost </w:t>
      </w:r>
      <w:r>
        <w:rPr>
          <w:highlight w:val="darkGreen"/>
        </w:rPr>
        <w:t>symbol</w:t>
      </w:r>
      <w:r>
        <w:t xml:space="preserve"> of~$v$, and the </w:t>
      </w:r>
      <w:r>
        <w:rPr>
          <w:highlight w:val="yellow"/>
        </w:rPr>
        <w:t>state</w:t>
      </w:r>
      <w:r>
        <w:t xml:space="preserve"> is~$q$. A </w:t>
      </w:r>
      <w:r>
        <w:rPr>
          <w:highlight w:val="darkGreen"/>
        </w:rPr>
        <w:t>configuration</w:t>
      </w:r>
      <w:r>
        <w:t xml:space="preserve"> is an \defn{accepting configuration} if $q$ is $M$'s </w:t>
      </w:r>
      <w:r>
        <w:rPr>
          <w:highlight w:val="red"/>
        </w:rPr>
        <w:t>accept</w:t>
      </w:r>
      <w:r/>
      <w:r>
        <w:rPr>
          <w:highlight w:val="yellow"/>
        </w:rPr>
        <w:t>accept state</w:t>
      </w:r>
      <w:r>
        <w:t xml:space="preserve"> and it is a \defn{rejecting configuration} if $q$ is $M$'s </w:t>
      </w:r>
      <w:r>
        <w:rPr>
          <w:highlight w:val="red"/>
        </w:rPr>
        <w:t>reject</w:t>
      </w:r>
      <w:r/>
      <w:r>
        <w:rPr>
          <w:highlight w:val="yellow"/>
        </w:rPr>
        <w:t>reject state</w:t>
      </w:r>
      <w:r>
        <w:t xml:space="preserve">.\footn{There are some technicalities: The </w:t>
      </w:r>
      <w:r>
        <w:rPr>
          <w:highlight w:val="yellow"/>
        </w:rPr>
        <w:t>string</w:t>
      </w:r>
      <w:r>
        <w:t xml:space="preserve"> $u$ cannot start with $\blank$ and the </w:t>
      </w:r>
      <w:r>
        <w:rPr>
          <w:highlight w:val="yellow"/>
        </w:rPr>
        <w:t>string</w:t>
      </w:r>
      <w:r>
        <w:t xml:space="preserve"> $v$ cannot end with $\blank$.  This is so that the </w:t>
      </w:r>
      <w:r>
        <w:rPr>
          <w:highlight w:val="yellow"/>
        </w:rPr>
        <w:t>configuration</w:t>
      </w:r>
      <w:r>
        <w:t xml:space="preserve"> is always unique.  Also, if~$v = \epsilon$ it means the head is pointing at the $\blank$ immediately to the right of~$u$.}</w:t>
        <w:br/>
        <w:br/>
        <w:t xml:space="preserve">Suppose that $M$ reaches a certain </w:t>
      </w:r>
      <w:r>
        <w:rPr>
          <w:highlight w:val="darkGreen"/>
        </w:rPr>
        <w:t>configuration</w:t>
      </w:r>
      <w:r>
        <w:t xml:space="preserve">~$\alpha$ (which is not </w:t>
      </w:r>
      <w:r>
        <w:rPr>
          <w:highlight w:val="yellow"/>
        </w:rPr>
        <w:t>accepting</w:t>
      </w:r>
      <w:r/>
      <w:r>
        <w:rPr>
          <w:highlight w:val="red"/>
        </w:rPr>
        <w:t>accepting</w:t>
      </w:r>
      <w:r>
        <w:t xml:space="preserve"> or </w:t>
      </w:r>
      <w:r>
        <w:rPr>
          <w:highlight w:val="yellow"/>
        </w:rPr>
        <w:t>rejecting</w:t>
      </w:r>
      <w:r>
        <w:t xml:space="preserve">). Knowing just this </w:t>
      </w:r>
      <w:r>
        <w:rPr>
          <w:highlight w:val="darkGreen"/>
        </w:rPr>
        <w:t>configuration</w:t>
      </w:r>
      <w:r>
        <w:t xml:space="preserve"> and $M$'s </w:t>
      </w:r>
      <w:r>
        <w:rPr>
          <w:highlight w:val="yellow"/>
        </w:rPr>
        <w:t>transition function</w:t>
      </w:r>
      <w:r>
        <w:t xml:space="preserve">~$\delta$, one can determine the </w:t>
      </w:r>
      <w:r>
        <w:rPr>
          <w:highlight w:val="darkGreen"/>
        </w:rPr>
        <w:t>configuration</w:t>
      </w:r>
      <w:r>
        <w:t xml:space="preserve"> $\beta$ that $M$ will reach at the next step of the computation. (As an exercise, make this statement precise.)  We write</w:t>
        <w:br/>
        <w:t>\[</w:t>
        <w:br/>
        <w:t xml:space="preserve">    \alpha \vdash_M \beta</w:t>
        <w:br/>
        <w:t>\]</w:t>
        <w:br/>
        <w:t xml:space="preserve">and say that ``$\alpha$ yields $\beta$ (in~$M$)''.  If it's obvious what $M$ we're talking about, we drop the subscript $M$ and just write $\alpha \vdash \beta$. </w:t>
        <w:br/>
        <w:br/>
        <w:t xml:space="preserve">Given an input $x \in \Sigma^*$ we say that $M(x)$ \defn{halts} if there exists a sequence of </w:t>
      </w:r>
      <w:r>
        <w:rPr>
          <w:highlight w:val="darkGreen"/>
        </w:rPr>
        <w:t>configurations</w:t>
      </w:r>
      <w:r>
        <w:t xml:space="preserve"> (called the \defn{computation trace}) $\alpha_0, \alpha_1, \dots, \alpha_{T}$ such that:</w:t>
        <w:br/>
        <w:br/>
        <w:t>\begin{enumerate}</w:t>
        <w:br/>
        <w:t xml:space="preserve">    \item[(i)] $\alpha_0 = q_0x$, where $q_0$ is $M$'s </w:t>
      </w:r>
      <w:r>
        <w:rPr>
          <w:highlight w:val="yellow"/>
        </w:rPr>
        <w:t>initial state</w:t>
      </w:r>
      <w:r>
        <w:t>;</w:t>
        <w:br/>
        <w:t xml:space="preserve">    \item[(ii)] $\alpha_t \vdash_M \alpha_{t+1}$ for all $t = 0, 1, 2, \dots, T-1$;</w:t>
        <w:br/>
        <w:t xml:space="preserve">    \item[(iii)] $\alpha_T$ is either an </w:t>
      </w:r>
      <w:r>
        <w:rPr>
          <w:highlight w:val="darkGreen"/>
        </w:rPr>
        <w:t>accepting configuration</w:t>
      </w:r>
      <w:r>
        <w:t xml:space="preserve"> (in which case we say $M(x)$ \defn{accepts}) or a </w:t>
      </w:r>
      <w:r>
        <w:rPr>
          <w:highlight w:val="darkGreen"/>
        </w:rPr>
        <w:t>rejecting configuration</w:t>
      </w:r>
      <w:r>
        <w:t xml:space="preserve"> (in which case we say $M(x)$ \defn{rejects}).</w:t>
        <w:br/>
        <w:t>\end{enumerate}</w:t>
        <w:br/>
        <w:t>Otherwise, we say $M(x)$ \defn{loops}.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