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09870" w14:textId="486BFB66" w:rsidR="00402885" w:rsidRPr="00402885" w:rsidRDefault="008046D8" w:rsidP="00881210">
      <w:pPr>
        <w:pStyle w:val="Heading3"/>
      </w:pPr>
      <w:r>
        <w:t>Robustness of</w:t>
      </w:r>
      <w:r w:rsidR="005C1609">
        <w:t xml:space="preserve"> central metabolic fluxes during glucose growth</w:t>
      </w:r>
      <w:r>
        <w:t xml:space="preserve"> to salt stress</w:t>
      </w:r>
    </w:p>
    <w:p w14:paraId="4AE12137" w14:textId="4E345DFD" w:rsidR="00671923" w:rsidRPr="00FC5D83" w:rsidRDefault="00C10E71" w:rsidP="00EB3F3D">
      <w:r>
        <w:t xml:space="preserve">Given the many cellular changes observed in mRNA and protein levels, we turned to </w:t>
      </w:r>
      <w:r w:rsidRPr="0082758D">
        <w:rPr>
          <w:vertAlign w:val="superscript"/>
        </w:rPr>
        <w:t>13</w:t>
      </w:r>
      <w:r>
        <w:t>C labe</w:t>
      </w:r>
      <w:r w:rsidR="0082758D">
        <w:t xml:space="preserve">ling techniques (Zamboni et al. 2009; Houser et al. 2015) to examine the </w:t>
      </w:r>
      <w:r>
        <w:t xml:space="preserve">extent </w:t>
      </w:r>
      <w:r w:rsidR="0082758D">
        <w:t>to which these changes effected the relative flow of metabolism through central metabolic pathways</w:t>
      </w:r>
      <w:r w:rsidR="00CA30BA">
        <w:t xml:space="preserve"> during exponential growth</w:t>
      </w:r>
      <w:r w:rsidR="0082758D">
        <w:t>. For this work we concentrated upon growth on glucose during NaCl and MgCl</w:t>
      </w:r>
      <w:r w:rsidR="0082758D" w:rsidRPr="0082758D">
        <w:rPr>
          <w:vertAlign w:val="subscript"/>
        </w:rPr>
        <w:t>2</w:t>
      </w:r>
      <w:r w:rsidR="0082758D">
        <w:t xml:space="preserve"> stresses. Across the salt concentrations utilized growth changed over nearly a two-fold range, with the doubling time changing from approximately </w:t>
      </w:r>
      <w:commentRangeStart w:id="0"/>
      <w:r w:rsidR="0082758D">
        <w:t xml:space="preserve">50 to 95 </w:t>
      </w:r>
      <w:commentRangeEnd w:id="0"/>
      <w:r w:rsidR="0082758D">
        <w:rPr>
          <w:rStyle w:val="CommentReference"/>
        </w:rPr>
        <w:commentReference w:id="0"/>
      </w:r>
      <w:r w:rsidR="0082758D">
        <w:t xml:space="preserve">minutes. </w:t>
      </w:r>
      <w:r w:rsidR="000066F8">
        <w:t xml:space="preserve">NaCl levels decreased growth by a third, getting monotonically worse with higher levels, yet there were </w:t>
      </w:r>
      <w:commentRangeStart w:id="1"/>
      <w:r w:rsidR="000066F8">
        <w:t xml:space="preserve">no significant changes </w:t>
      </w:r>
      <w:commentRangeEnd w:id="1"/>
      <w:r w:rsidR="00CA30BA">
        <w:rPr>
          <w:rStyle w:val="CommentReference"/>
        </w:rPr>
        <w:commentReference w:id="1"/>
      </w:r>
      <w:r w:rsidR="000066F8">
        <w:t>observed in central metabolism. Intermediate MgCl</w:t>
      </w:r>
      <w:r w:rsidR="000066F8" w:rsidRPr="000066F8">
        <w:rPr>
          <w:vertAlign w:val="subscript"/>
        </w:rPr>
        <w:t>2</w:t>
      </w:r>
      <w:r w:rsidR="000066F8">
        <w:t xml:space="preserve"> levels permitted the fastest growth, with ~10% slower growth at 8 mM and below, and ~50% slower growth at 400 mM. Although the relative flux at sever</w:t>
      </w:r>
      <w:r w:rsidR="008046D8">
        <w:t>al key splits in metabolism was</w:t>
      </w:r>
      <w:r w:rsidR="000066F8">
        <w:t xml:space="preserve"> </w:t>
      </w:r>
      <w:commentRangeStart w:id="2"/>
      <w:r w:rsidR="000066F8">
        <w:t xml:space="preserve">unchanged across this range, </w:t>
      </w:r>
      <w:r w:rsidR="00CA30BA">
        <w:t>several changed significantly</w:t>
      </w:r>
      <w:commentRangeEnd w:id="2"/>
      <w:r w:rsidR="00CA30BA">
        <w:rPr>
          <w:rStyle w:val="CommentReference"/>
        </w:rPr>
        <w:commentReference w:id="2"/>
      </w:r>
      <w:r w:rsidR="00CA30BA">
        <w:t>. T</w:t>
      </w:r>
      <w:r w:rsidR="008046D8">
        <w:t>he proportion of</w:t>
      </w:r>
      <w:r w:rsidR="000066F8">
        <w:t xml:space="preserve"> oxaloacetate </w:t>
      </w:r>
      <w:r w:rsidR="008046D8">
        <w:t xml:space="preserve">generated </w:t>
      </w:r>
      <w:r w:rsidR="000066F8">
        <w:t>from ph</w:t>
      </w:r>
      <w:r w:rsidR="000066F8" w:rsidRPr="000066F8">
        <w:t>ospoenolpyruvate</w:t>
      </w:r>
      <w:r w:rsidR="000066F8">
        <w:t xml:space="preserve"> </w:t>
      </w:r>
      <w:r w:rsidR="008046D8">
        <w:t xml:space="preserve">and pentose-5-phosphate from glucose-6-phosphate both decreased (and thus pentose-5-phosphate from glyceraldehyde-3-phosphate decreased) when growth was slow at either high or low concentrations. As these changes were not observed during NaCl stress that led to similar growth defects, </w:t>
      </w:r>
      <w:r w:rsidR="00CA30BA">
        <w:t xml:space="preserve">they </w:t>
      </w:r>
      <w:r w:rsidR="00CA30BA">
        <w:t>do not simply arise as a consequence of slowed growth</w:t>
      </w:r>
      <w:r w:rsidR="00CA30BA">
        <w:t xml:space="preserve"> and </w:t>
      </w:r>
      <w:r w:rsidR="008046D8">
        <w:t>we speculate that they may be specific to MgCl</w:t>
      </w:r>
      <w:r w:rsidR="008046D8" w:rsidRPr="008046D8">
        <w:rPr>
          <w:vertAlign w:val="subscript"/>
        </w:rPr>
        <w:t>2</w:t>
      </w:r>
      <w:r w:rsidR="00CA30BA">
        <w:t xml:space="preserve"> stress</w:t>
      </w:r>
      <w:r w:rsidR="008046D8">
        <w:t xml:space="preserve">. With the exception of those changes, however, the </w:t>
      </w:r>
      <w:r w:rsidR="00CA30BA">
        <w:t>general picture</w:t>
      </w:r>
      <w:r w:rsidR="008046D8">
        <w:t xml:space="preserve"> was that homeostasis in central metabolism was sufficient to ward off significant changes in relative pathway use despite large effects upon overall growth rate</w:t>
      </w:r>
      <w:r w:rsidR="00CA30BA">
        <w:t xml:space="preserve"> and the pools of mRNA and </w:t>
      </w:r>
      <w:commentRangeStart w:id="3"/>
      <w:r w:rsidR="00CA30BA">
        <w:t>proteins</w:t>
      </w:r>
      <w:r w:rsidR="008046D8">
        <w:t>.</w:t>
      </w:r>
      <w:commentRangeEnd w:id="3"/>
      <w:r w:rsidR="00CA30BA">
        <w:rPr>
          <w:rStyle w:val="CommentReference"/>
        </w:rPr>
        <w:commentReference w:id="3"/>
      </w:r>
    </w:p>
    <w:p w14:paraId="0DF99862" w14:textId="3978B3B2" w:rsidR="00FC5D83" w:rsidRPr="00FC5D83" w:rsidRDefault="00FC5D83" w:rsidP="0077747E">
      <w:pPr>
        <w:tabs>
          <w:tab w:val="left" w:pos="6245"/>
        </w:tabs>
      </w:pPr>
    </w:p>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opher Marx" w:date="2016-07-12T23:01:00Z" w:initials="CM">
    <w:p w14:paraId="450D95E3" w14:textId="77777777" w:rsidR="008046D8" w:rsidRDefault="000066F8">
      <w:pPr>
        <w:pStyle w:val="CommentText"/>
      </w:pPr>
      <w:r>
        <w:rPr>
          <w:rStyle w:val="CommentReference"/>
        </w:rPr>
        <w:annotationRef/>
      </w:r>
      <w:r>
        <w:t xml:space="preserve">I assume these growth rates will be somewhere, right?  It seems very hard to analyze data without it.  </w:t>
      </w:r>
    </w:p>
    <w:p w14:paraId="585F74C9" w14:textId="77777777" w:rsidR="008046D8" w:rsidRDefault="008046D8">
      <w:pPr>
        <w:pStyle w:val="CommentText"/>
      </w:pPr>
    </w:p>
    <w:p w14:paraId="458E380D" w14:textId="3BC962EB" w:rsidR="000066F8" w:rsidRDefault="008046D8">
      <w:pPr>
        <w:pStyle w:val="CommentText"/>
      </w:pPr>
      <w:r>
        <w:t>Also, for now I</w:t>
      </w:r>
      <w:r w:rsidR="000066F8">
        <w:t xml:space="preserve"> guess</w:t>
      </w:r>
      <w:r>
        <w:t>ed</w:t>
      </w:r>
      <w:r w:rsidR="000066F8">
        <w:t xml:space="preserve"> what will come out </w:t>
      </w:r>
      <w:r>
        <w:t>as significant or not, but it would be worth determining which fluxes actually pass muster statistically.</w:t>
      </w:r>
    </w:p>
  </w:comment>
  <w:comment w:id="1" w:author="Christopher Marx" w:date="2016-07-14T09:21:00Z" w:initials="CM">
    <w:p w14:paraId="7DCCC5C7" w14:textId="14CFAAE2" w:rsidR="00CA30BA" w:rsidRDefault="00CA30BA">
      <w:pPr>
        <w:pStyle w:val="CommentText"/>
      </w:pPr>
      <w:r>
        <w:rPr>
          <w:rStyle w:val="CommentReference"/>
        </w:rPr>
        <w:annotationRef/>
      </w:r>
      <w:r>
        <w:t>So this would be the test to run: for any given flux ratio are any of the values different than any of the others (and then consider multiple testing).  It doesn’t seem to be the case, but maybe one or two changes at 300 mM could be close.</w:t>
      </w:r>
    </w:p>
  </w:comment>
  <w:comment w:id="2" w:author="Christopher Marx" w:date="2016-07-14T09:25:00Z" w:initials="CM">
    <w:p w14:paraId="7D2A745D" w14:textId="1DA54047" w:rsidR="00CA30BA" w:rsidRDefault="00CA30BA">
      <w:pPr>
        <w:pStyle w:val="CommentText"/>
      </w:pPr>
      <w:r>
        <w:rPr>
          <w:rStyle w:val="CommentReference"/>
        </w:rPr>
        <w:annotationRef/>
      </w:r>
      <w:r>
        <w:t>Same test as above.  I think we will want to back up that many show no changes, whereas those called out were significantly different.</w:t>
      </w:r>
    </w:p>
  </w:comment>
  <w:comment w:id="3" w:author="Christopher Marx" w:date="2016-07-14T09:30:00Z" w:initials="CM">
    <w:p w14:paraId="15D66969" w14:textId="1BBB9DEF" w:rsidR="00CA30BA" w:rsidRDefault="00CA30BA">
      <w:pPr>
        <w:pStyle w:val="CommentText"/>
      </w:pPr>
      <w:r>
        <w:rPr>
          <w:rStyle w:val="CommentReference"/>
        </w:rPr>
        <w:annotationRef/>
      </w:r>
      <w:r>
        <w:t xml:space="preserve">As for the stationary phase readings, I continue to struggle to know how to interpret these data.  The fact that we see changes in some things like GLY from SER is interesting and says SOMETHING is going on.  But as FiatFlux is designed to interpret labeling from a steady-state condition and from glucose as the source, I don’t think we can attribute it to actual changes in any particular flux split as the second figure now indicates.  I’d skip showing it entirely.  </w:t>
      </w:r>
    </w:p>
    <w:p w14:paraId="76EFB0FD" w14:textId="77777777" w:rsidR="00CA30BA" w:rsidRDefault="00CA30BA">
      <w:pPr>
        <w:pStyle w:val="CommentText"/>
      </w:pPr>
    </w:p>
    <w:p w14:paraId="679FA32E" w14:textId="4C52B914" w:rsidR="00CA30BA" w:rsidRDefault="00CA30BA">
      <w:pPr>
        <w:pStyle w:val="CommentText"/>
      </w:pPr>
      <w:r>
        <w:t xml:space="preserve">The one thing we could say, if desired, was that we observed a change in labeling in some fragments which – if it were to have occurred during steady-state – would be interpreted as GLY to SER.  Given that glucose was depleted and it was not steady-state, these changes likely indicate some degree of either internal recycling of the amino acids themselves (changing the labeling involved), or cross-feeding of small organic acids.  My feeling is that as wishy-washy as the above statement is, I’d just leave it out.  Accordingly, </w:t>
      </w:r>
      <w:bookmarkStart w:id="4" w:name="_GoBack"/>
      <w:bookmarkEnd w:id="4"/>
      <w:r>
        <w:t>I modified the first sentence to clarify that we looked at exponential growth only.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0066F8" w:rsidRDefault="000066F8" w:rsidP="00522EEC">
      <w:r>
        <w:separator/>
      </w:r>
    </w:p>
  </w:endnote>
  <w:endnote w:type="continuationSeparator" w:id="0">
    <w:p w14:paraId="5395B59D" w14:textId="77777777" w:rsidR="000066F8" w:rsidRDefault="000066F8"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0066F8" w:rsidRDefault="000066F8"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0066F8" w:rsidRDefault="000066F8"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0066F8" w:rsidRDefault="000066F8"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30BA">
      <w:rPr>
        <w:rStyle w:val="PageNumber"/>
        <w:noProof/>
      </w:rPr>
      <w:t>1</w:t>
    </w:r>
    <w:r>
      <w:rPr>
        <w:rStyle w:val="PageNumber"/>
      </w:rPr>
      <w:fldChar w:fldCharType="end"/>
    </w:r>
  </w:p>
  <w:p w14:paraId="7B2AAECF" w14:textId="77777777" w:rsidR="000066F8" w:rsidRDefault="000066F8"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0066F8" w:rsidRDefault="000066F8" w:rsidP="00522EEC">
      <w:r>
        <w:separator/>
      </w:r>
    </w:p>
  </w:footnote>
  <w:footnote w:type="continuationSeparator" w:id="0">
    <w:p w14:paraId="455F0858" w14:textId="77777777" w:rsidR="000066F8" w:rsidRDefault="000066F8"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66F8"/>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BE1"/>
    <w:rsid w:val="00092E0B"/>
    <w:rsid w:val="00095837"/>
    <w:rsid w:val="00095A90"/>
    <w:rsid w:val="00096BE9"/>
    <w:rsid w:val="000A3282"/>
    <w:rsid w:val="000A633B"/>
    <w:rsid w:val="000B2CC7"/>
    <w:rsid w:val="000B6E87"/>
    <w:rsid w:val="000C2150"/>
    <w:rsid w:val="000C4C45"/>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524AC"/>
    <w:rsid w:val="0015350C"/>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D55DA"/>
    <w:rsid w:val="002E44C6"/>
    <w:rsid w:val="002E5C5C"/>
    <w:rsid w:val="002F39D1"/>
    <w:rsid w:val="002F57AD"/>
    <w:rsid w:val="0030374E"/>
    <w:rsid w:val="003067F7"/>
    <w:rsid w:val="00311020"/>
    <w:rsid w:val="00311BC1"/>
    <w:rsid w:val="00315216"/>
    <w:rsid w:val="00316923"/>
    <w:rsid w:val="00316CB1"/>
    <w:rsid w:val="0032028B"/>
    <w:rsid w:val="00321ADC"/>
    <w:rsid w:val="00325A61"/>
    <w:rsid w:val="00326987"/>
    <w:rsid w:val="00330759"/>
    <w:rsid w:val="0033252D"/>
    <w:rsid w:val="00345DA5"/>
    <w:rsid w:val="00346136"/>
    <w:rsid w:val="0035006B"/>
    <w:rsid w:val="00350671"/>
    <w:rsid w:val="00356F8E"/>
    <w:rsid w:val="0036081D"/>
    <w:rsid w:val="00360CF7"/>
    <w:rsid w:val="003641BC"/>
    <w:rsid w:val="00365D66"/>
    <w:rsid w:val="0036669B"/>
    <w:rsid w:val="00370076"/>
    <w:rsid w:val="0037039B"/>
    <w:rsid w:val="00373658"/>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27E9A"/>
    <w:rsid w:val="004334F7"/>
    <w:rsid w:val="00435168"/>
    <w:rsid w:val="00440CAA"/>
    <w:rsid w:val="00445B9E"/>
    <w:rsid w:val="00445CF9"/>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E54CD"/>
    <w:rsid w:val="004F3281"/>
    <w:rsid w:val="004F5B9F"/>
    <w:rsid w:val="004F79A2"/>
    <w:rsid w:val="00500979"/>
    <w:rsid w:val="00502D23"/>
    <w:rsid w:val="005042E3"/>
    <w:rsid w:val="005047C6"/>
    <w:rsid w:val="00504F91"/>
    <w:rsid w:val="0051095E"/>
    <w:rsid w:val="00517811"/>
    <w:rsid w:val="00522EEC"/>
    <w:rsid w:val="00523BA6"/>
    <w:rsid w:val="00526C9C"/>
    <w:rsid w:val="0053050A"/>
    <w:rsid w:val="005346B9"/>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8663C"/>
    <w:rsid w:val="005923FC"/>
    <w:rsid w:val="0059625A"/>
    <w:rsid w:val="00596DC3"/>
    <w:rsid w:val="005A2BDD"/>
    <w:rsid w:val="005A2E74"/>
    <w:rsid w:val="005A6A99"/>
    <w:rsid w:val="005A744D"/>
    <w:rsid w:val="005B15D1"/>
    <w:rsid w:val="005B3BAE"/>
    <w:rsid w:val="005B4126"/>
    <w:rsid w:val="005B5BAD"/>
    <w:rsid w:val="005B6450"/>
    <w:rsid w:val="005B7960"/>
    <w:rsid w:val="005C0286"/>
    <w:rsid w:val="005C1609"/>
    <w:rsid w:val="005C5C85"/>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A5EFF"/>
    <w:rsid w:val="007B0321"/>
    <w:rsid w:val="007B145B"/>
    <w:rsid w:val="007B2831"/>
    <w:rsid w:val="007D014B"/>
    <w:rsid w:val="007D2BD6"/>
    <w:rsid w:val="007E2476"/>
    <w:rsid w:val="007E3359"/>
    <w:rsid w:val="007E786B"/>
    <w:rsid w:val="007F2951"/>
    <w:rsid w:val="007F3B2C"/>
    <w:rsid w:val="00802237"/>
    <w:rsid w:val="008046D8"/>
    <w:rsid w:val="00810298"/>
    <w:rsid w:val="00810B87"/>
    <w:rsid w:val="008128F4"/>
    <w:rsid w:val="0081461F"/>
    <w:rsid w:val="008146CA"/>
    <w:rsid w:val="0081598A"/>
    <w:rsid w:val="008272F5"/>
    <w:rsid w:val="0082758D"/>
    <w:rsid w:val="00835315"/>
    <w:rsid w:val="0083665D"/>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64989"/>
    <w:rsid w:val="00A71DB1"/>
    <w:rsid w:val="00A722EF"/>
    <w:rsid w:val="00AA105F"/>
    <w:rsid w:val="00AA2477"/>
    <w:rsid w:val="00AA3348"/>
    <w:rsid w:val="00AA36DC"/>
    <w:rsid w:val="00AA421C"/>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C726B"/>
    <w:rsid w:val="00BE15CA"/>
    <w:rsid w:val="00BE48B5"/>
    <w:rsid w:val="00BE537C"/>
    <w:rsid w:val="00BF1D55"/>
    <w:rsid w:val="00BF53F6"/>
    <w:rsid w:val="00C04703"/>
    <w:rsid w:val="00C04705"/>
    <w:rsid w:val="00C04DBA"/>
    <w:rsid w:val="00C0585E"/>
    <w:rsid w:val="00C100E6"/>
    <w:rsid w:val="00C10E71"/>
    <w:rsid w:val="00C10FD5"/>
    <w:rsid w:val="00C16B38"/>
    <w:rsid w:val="00C16CA5"/>
    <w:rsid w:val="00C20353"/>
    <w:rsid w:val="00C20B82"/>
    <w:rsid w:val="00C21187"/>
    <w:rsid w:val="00C25B26"/>
    <w:rsid w:val="00C27356"/>
    <w:rsid w:val="00C30238"/>
    <w:rsid w:val="00C37EBB"/>
    <w:rsid w:val="00C61A39"/>
    <w:rsid w:val="00C64BDE"/>
    <w:rsid w:val="00C72465"/>
    <w:rsid w:val="00C80BDE"/>
    <w:rsid w:val="00C90590"/>
    <w:rsid w:val="00C93C2F"/>
    <w:rsid w:val="00C9740B"/>
    <w:rsid w:val="00C97B91"/>
    <w:rsid w:val="00CA028F"/>
    <w:rsid w:val="00CA30BA"/>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378DE"/>
    <w:rsid w:val="00F425EA"/>
    <w:rsid w:val="00F44D3A"/>
    <w:rsid w:val="00F51155"/>
    <w:rsid w:val="00F549FD"/>
    <w:rsid w:val="00F64495"/>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61"/>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6636A-A16B-3046-AD59-DF07394C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1505</Characters>
  <Application>Microsoft Macintosh Word</Application>
  <DocSecurity>0</DocSecurity>
  <Lines>12</Lines>
  <Paragraphs>3</Paragraphs>
  <ScaleCrop>false</ScaleCrop>
  <Company>ut austin</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Christopher Marx</cp:lastModifiedBy>
  <cp:revision>3</cp:revision>
  <dcterms:created xsi:type="dcterms:W3CDTF">2016-07-14T16:18:00Z</dcterms:created>
  <dcterms:modified xsi:type="dcterms:W3CDTF">2016-07-14T16:30:00Z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id="k069cjWm"/&gt;&lt;style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