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6C6ABAF0"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1A7A07">
        <w:t>ate, systematic measurements of</w:t>
      </w:r>
      <w:r w:rsidR="001A7A07">
        <w:rPr>
          <w:highlight w:val="yellow"/>
        </w:rPr>
        <w:t xml:space="preserve"> mRNA</w:t>
      </w:r>
      <w:r w:rsidR="00C654DC" w:rsidRPr="00C654DC">
        <w:t>-Seq</w:t>
      </w:r>
      <w:r w:rsidR="001A7A07">
        <w:rPr>
          <w:highlight w:val="yellow"/>
        </w:rPr>
        <w:t>,</w:t>
      </w:r>
      <w:r w:rsidR="0083665D" w:rsidRPr="001A7A07">
        <w:rPr>
          <w:highlight w:val="yellow"/>
        </w:rPr>
        <w:t xml:space="preserve"> </w:t>
      </w:r>
      <w:r w:rsidR="00C654DC">
        <w:rPr>
          <w:highlight w:val="yellow"/>
        </w:rPr>
        <w:t>proteomics</w:t>
      </w:r>
      <w:r w:rsidR="001A7A07" w:rsidRPr="001A7A07">
        <w:rPr>
          <w:highlight w:val="yellow"/>
        </w:rPr>
        <w:t>, metabolic fluxes, and growth rates</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3C4FE231"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506D11AB"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364BA3" w:rsidRPr="00364BA3">
        <w:rPr>
          <w:highlight w:val="yellow"/>
        </w:rPr>
        <w:t>Table S4</w:t>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4FD8C29A"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0BF7A4E4" w:rsidR="006F70EB" w:rsidRDefault="00881210" w:rsidP="006F70EB">
      <w:r w:rsidRPr="00852FE9">
        <w:rPr>
          <w:highlight w:val="yellow"/>
        </w:rPr>
        <w:t xml:space="preserve">Our raw RNA-seq </w:t>
      </w:r>
      <w:r w:rsidR="00852FE9" w:rsidRPr="00852FE9">
        <w:rPr>
          <w:highlight w:val="yellow"/>
        </w:rPr>
        <w:t xml:space="preserve"> and protein </w:t>
      </w:r>
      <w:r w:rsidRPr="00852FE9">
        <w:rPr>
          <w:highlight w:val="yellow"/>
        </w:rPr>
        <w:t xml:space="preserve">data </w:t>
      </w:r>
      <w:r w:rsidR="002A6E4A" w:rsidRPr="00852FE9">
        <w:rPr>
          <w:highlight w:val="yellow"/>
        </w:rPr>
        <w:t xml:space="preserve">covers </w:t>
      </w:r>
      <w:r w:rsidR="007B145B" w:rsidRPr="00852FE9">
        <w:rPr>
          <w:highlight w:val="yellow"/>
        </w:rPr>
        <w:t>4</w:t>
      </w:r>
      <w:r w:rsidR="00852FE9" w:rsidRPr="00852FE9">
        <w:rPr>
          <w:highlight w:val="yellow"/>
        </w:rPr>
        <w:t>196</w:t>
      </w:r>
      <w:r w:rsidR="007B145B" w:rsidRPr="00852FE9">
        <w:rPr>
          <w:highlight w:val="yellow"/>
        </w:rPr>
        <w:t xml:space="preserve"> </w:t>
      </w:r>
      <w:r w:rsidRPr="00852FE9">
        <w:rPr>
          <w:highlight w:val="yellow"/>
        </w:rPr>
        <w:t>dis</w:t>
      </w:r>
      <w:r w:rsidR="008217C8" w:rsidRPr="00852FE9">
        <w:rPr>
          <w:highlight w:val="yellow"/>
        </w:rPr>
        <w:t>tinct mRNAs</w:t>
      </w:r>
      <w:r w:rsidR="00852FE9" w:rsidRPr="00852FE9">
        <w:rPr>
          <w:highlight w:val="yellow"/>
        </w:rPr>
        <w:t xml:space="preserve"> and proteins</w:t>
      </w:r>
      <w:r w:rsidR="005C33B3" w:rsidRPr="00852FE9">
        <w:rPr>
          <w:highlight w:val="yellow"/>
        </w:rPr>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17021E">
        <w:t>6</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0E419795"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1E0875">
        <w:t xml:space="preserve"> </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852FE9" w:rsidRPr="00852FE9">
        <w:rPr>
          <w:highlight w:val="yellow"/>
        </w:rPr>
        <w:t>This is a useful measure because it enables us to measure how purely clusters are picked and is also independent of possible different visual representations of the same dendogram.</w:t>
      </w:r>
      <w:r w:rsidR="00852FE9">
        <w:t xml:space="preserve"> </w:t>
      </w:r>
      <w:r w:rsidRPr="00B67655">
        <w:t xml:space="preserve">We then converted each mean cophenetic distance into a </w:t>
      </w:r>
      <w:r w:rsidRPr="00B002D1">
        <w:rPr>
          <w:i/>
        </w:rPr>
        <w:t>z</w:t>
      </w:r>
      <w:r w:rsidRPr="00526C9C">
        <w:t>-score</w:t>
      </w:r>
      <w:r w:rsidRPr="00B67655">
        <w:t xml:space="preserve">, by resampling mean cophenetic distances from dendograms with reshuffled leaf assignments. </w:t>
      </w:r>
      <w:r w:rsidR="00852FE9" w:rsidRPr="001E0875">
        <w:rPr>
          <w:highlight w:val="yellow"/>
        </w:rPr>
        <w:t>In other words</w:t>
      </w:r>
      <w:r w:rsidR="001E0875" w:rsidRPr="001E0875">
        <w:rPr>
          <w:highlight w:val="yellow"/>
        </w:rPr>
        <w:t>, we</w:t>
      </w:r>
      <w:r w:rsidR="00852FE9" w:rsidRPr="001E0875">
        <w:rPr>
          <w:highlight w:val="yellow"/>
        </w:rPr>
        <w:t xml:space="preserve"> </w:t>
      </w:r>
      <w:r w:rsidR="001E0875" w:rsidRPr="001E0875">
        <w:rPr>
          <w:highlight w:val="yellow"/>
        </w:rPr>
        <w:t>determine the null-distribution of this statistic by resampling. Specifically, we are carrying out a random permutation test, since we are evaluating a random sample of all possible permutations of labels in our dataset and we generate a z-score based comparison of permutation results</w:t>
      </w:r>
      <w:r w:rsidR="00852FE9" w:rsidRPr="001E0875">
        <w:rPr>
          <w:highlight w:val="yellow"/>
        </w:rPr>
        <w:t>.</w:t>
      </w:r>
      <w:r w:rsidR="00852FE9">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16FAF508" w:rsidR="00C6196F" w:rsidRPr="00C6196F" w:rsidRDefault="00B67655" w:rsidP="00B67655">
      <w:pPr>
        <w:pStyle w:val="Heading3"/>
        <w:rPr>
          <w:b w:val="0"/>
          <w:highlight w:val="yellow"/>
        </w:rPr>
      </w:pPr>
      <w:r w:rsidRPr="00C6196F">
        <w:rPr>
          <w:rFonts w:eastAsiaTheme="minorEastAsia" w:cstheme="minorBidi"/>
          <w:b w:val="0"/>
          <w:bCs w:val="0"/>
          <w:color w:val="auto"/>
          <w:highlight w:val="yellow"/>
        </w:rPr>
        <w:t xml:space="preserve">We found that mRNA abundances were significantly clustered by growth phase, with a </w:t>
      </w:r>
      <w:r w:rsidRPr="00C6196F">
        <w:rPr>
          <w:rFonts w:eastAsiaTheme="minorEastAsia" w:cstheme="minorBidi"/>
          <w:b w:val="0"/>
          <w:bCs w:val="0"/>
          <w:i/>
          <w:color w:val="auto"/>
          <w:highlight w:val="yellow"/>
        </w:rPr>
        <w:t>z</w:t>
      </w:r>
      <w:r w:rsidR="00526C9C" w:rsidRPr="00C6196F">
        <w:rPr>
          <w:rFonts w:eastAsiaTheme="minorEastAsia" w:cstheme="minorBidi"/>
          <w:b w:val="0"/>
          <w:bCs w:val="0"/>
          <w:color w:val="auto"/>
          <w:highlight w:val="yellow"/>
        </w:rPr>
        <w:t xml:space="preserve">-score of </w:t>
      </w:r>
      <w:r w:rsidR="007229C2" w:rsidRPr="00C6196F">
        <w:rPr>
          <w:color w:val="auto"/>
          <w:highlight w:val="yellow"/>
        </w:rPr>
        <w:t>−</w:t>
      </w:r>
      <w:r w:rsidR="00700028" w:rsidRPr="00C6196F">
        <w:rPr>
          <w:rFonts w:eastAsiaTheme="minorEastAsia" w:cstheme="minorBidi"/>
          <w:bCs w:val="0"/>
          <w:color w:val="auto"/>
          <w:highlight w:val="yellow"/>
        </w:rPr>
        <w:t>30.98</w:t>
      </w:r>
      <w:r w:rsidRPr="00C6196F">
        <w:rPr>
          <w:rFonts w:eastAsiaTheme="minorEastAsia" w:cstheme="minorBidi"/>
          <w:bCs w:val="0"/>
          <w:color w:val="auto"/>
          <w:highlight w:val="yellow"/>
        </w:rPr>
        <w:t xml:space="preserve"> </w:t>
      </w:r>
      <w:r w:rsidRPr="00C6196F">
        <w:rPr>
          <w:rFonts w:eastAsiaTheme="minorEastAsia" w:cstheme="minorBidi"/>
          <w:b w:val="0"/>
          <w:bCs w:val="0"/>
          <w:color w:val="auto"/>
          <w:highlight w:val="yellow"/>
        </w:rPr>
        <w:t xml:space="preserve">(Table 1). </w:t>
      </w:r>
      <w:r w:rsidR="00D82C71" w:rsidRPr="00C6196F">
        <w:rPr>
          <w:b w:val="0"/>
          <w:highlight w:val="yellow"/>
        </w:rPr>
        <w:t>Mg</w:t>
      </w:r>
      <w:r w:rsidR="00D82C71" w:rsidRPr="00C6196F">
        <w:rPr>
          <w:b w:val="0"/>
          <w:highlight w:val="yellow"/>
          <w:vertAlign w:val="superscript"/>
        </w:rPr>
        <w:t>2+</w:t>
      </w:r>
      <w:r w:rsidR="00D82C71" w:rsidRPr="00C6196F">
        <w:rPr>
          <w:b w:val="0"/>
          <w:highlight w:val="yellow"/>
        </w:rPr>
        <w:t xml:space="preserve"> level displayed the next-largest </w:t>
      </w:r>
      <w:r w:rsidR="00D82C71" w:rsidRPr="00C6196F">
        <w:rPr>
          <w:b w:val="0"/>
          <w:i/>
          <w:highlight w:val="yellow"/>
        </w:rPr>
        <w:t>z</w:t>
      </w:r>
      <w:r w:rsidR="00D82C71" w:rsidRPr="00C6196F">
        <w:rPr>
          <w:b w:val="0"/>
          <w:highlight w:val="yellow"/>
        </w:rPr>
        <w:t>-scores by magnitude of</w:t>
      </w:r>
      <w:r w:rsidR="00D82C71" w:rsidRPr="00C6196F">
        <w:rPr>
          <w:highlight w:val="yellow"/>
        </w:rPr>
        <w:t xml:space="preserve"> −3.21 </w:t>
      </w:r>
      <w:r w:rsidR="00D82C71" w:rsidRPr="00C6196F">
        <w:rPr>
          <w:b w:val="0"/>
          <w:highlight w:val="yellow"/>
        </w:rPr>
        <w:t>which indicates a significant clustering Mg</w:t>
      </w:r>
      <w:r w:rsidR="00D82C71" w:rsidRPr="00C6196F">
        <w:rPr>
          <w:b w:val="0"/>
          <w:highlight w:val="yellow"/>
          <w:vertAlign w:val="superscript"/>
        </w:rPr>
        <w:t>2+</w:t>
      </w:r>
      <w:r w:rsidR="00D82C71" w:rsidRPr="00C6196F">
        <w:rPr>
          <w:b w:val="0"/>
          <w:highlight w:val="yellow"/>
        </w:rPr>
        <w:t xml:space="preserve"> levels. Next comes Na</w:t>
      </w:r>
      <w:r w:rsidR="00D82C71" w:rsidRPr="00C6196F">
        <w:rPr>
          <w:b w:val="0"/>
          <w:highlight w:val="yellow"/>
          <w:vertAlign w:val="superscript"/>
        </w:rPr>
        <w:t>+</w:t>
      </w:r>
      <w:r w:rsidR="00D82C71" w:rsidRPr="00C6196F">
        <w:rPr>
          <w:b w:val="0"/>
          <w:highlight w:val="yellow"/>
        </w:rPr>
        <w:t xml:space="preserve"> with a z-score of </w:t>
      </w:r>
      <w:r w:rsidR="00D82C71" w:rsidRPr="00C6196F">
        <w:rPr>
          <w:highlight w:val="yellow"/>
        </w:rPr>
        <w:t>−1.89</w:t>
      </w:r>
      <w:r w:rsidR="00D82C71" w:rsidRPr="00C6196F">
        <w:rPr>
          <w:b w:val="0"/>
          <w:highlight w:val="yellow"/>
        </w:rPr>
        <w:t xml:space="preserve">, but this is not significantly different from zero. The </w:t>
      </w:r>
      <w:r w:rsidR="00D82C71" w:rsidRPr="00C6196F">
        <w:rPr>
          <w:b w:val="0"/>
          <w:i/>
          <w:highlight w:val="yellow"/>
        </w:rPr>
        <w:t>z</w:t>
      </w:r>
      <w:r w:rsidR="00D82C71" w:rsidRPr="00C6196F">
        <w:rPr>
          <w:b w:val="0"/>
          <w:highlight w:val="yellow"/>
        </w:rPr>
        <w:t xml:space="preserve">-score for carbon source was </w:t>
      </w:r>
      <w:r w:rsidR="00D82C71" w:rsidRPr="00C6196F">
        <w:rPr>
          <w:highlight w:val="yellow"/>
        </w:rPr>
        <w:t>1.21</w:t>
      </w:r>
      <w:r w:rsidR="00D82C71" w:rsidRPr="00C6196F">
        <w:rPr>
          <w:b w:val="0"/>
          <w:highlight w:val="yellow"/>
        </w:rPr>
        <w:t xml:space="preserve">, which implies that there is no significant clustering by carbon source in the mRNA data. When we calculated a </w:t>
      </w:r>
      <w:r w:rsidR="00D82C71" w:rsidRPr="00C6196F">
        <w:rPr>
          <w:b w:val="0"/>
          <w:i/>
          <w:highlight w:val="yellow"/>
        </w:rPr>
        <w:t>z</w:t>
      </w:r>
      <w:r w:rsidR="00D82C71" w:rsidRPr="00C6196F">
        <w:rPr>
          <w:b w:val="0"/>
          <w:highlight w:val="yellow"/>
        </w:rPr>
        <w:t xml:space="preserve">-score for batch number, we found that batch effects is not significantly influenced mRNA abundances, with </w:t>
      </w:r>
      <w:r w:rsidR="00D82C71" w:rsidRPr="00C6196F">
        <w:rPr>
          <w:b w:val="0"/>
          <w:i/>
          <w:highlight w:val="yellow"/>
        </w:rPr>
        <w:t>z</w:t>
      </w:r>
      <w:r w:rsidR="00D82C71" w:rsidRPr="00C6196F">
        <w:rPr>
          <w:b w:val="0"/>
          <w:highlight w:val="yellow"/>
        </w:rPr>
        <w:t xml:space="preserve"> = </w:t>
      </w:r>
      <w:r w:rsidR="00D82C71" w:rsidRPr="00C6196F">
        <w:rPr>
          <w:highlight w:val="yellow"/>
        </w:rPr>
        <w:t>−1.43</w:t>
      </w:r>
      <w:r w:rsidR="00D82C71" w:rsidRPr="00C6196F">
        <w:rPr>
          <w:b w:val="0"/>
          <w:highlight w:val="yellow"/>
        </w:rPr>
        <w:t xml:space="preserve">. Batch number here represents cultures grown at the same time, in parallel. </w:t>
      </w:r>
    </w:p>
    <w:p w14:paraId="0D1577A0" w14:textId="5F967291" w:rsidR="00C6196F" w:rsidRDefault="00C6196F" w:rsidP="00B67655">
      <w:pPr>
        <w:pStyle w:val="Heading3"/>
        <w:rPr>
          <w:rFonts w:eastAsiaTheme="minorEastAsia" w:cstheme="minorBidi"/>
          <w:b w:val="0"/>
          <w:bCs w:val="0"/>
          <w:color w:val="auto"/>
        </w:rPr>
      </w:pPr>
      <w:r w:rsidRPr="00C6196F">
        <w:rPr>
          <w:rFonts w:eastAsiaTheme="minorEastAsia" w:cstheme="minorBidi"/>
          <w:b w:val="0"/>
          <w:bCs w:val="0"/>
          <w:color w:val="auto"/>
          <w:highlight w:val="yellow"/>
        </w:rPr>
        <w:t xml:space="preserve">For protein abundances, the variable carbon source was significantly clustered, with z-score </w:t>
      </w:r>
      <w:r w:rsidRPr="00C6196F">
        <w:rPr>
          <w:rFonts w:eastAsiaTheme="minorEastAsia" w:cstheme="minorBidi"/>
          <w:bCs w:val="0"/>
          <w:color w:val="auto"/>
          <w:highlight w:val="yellow"/>
        </w:rPr>
        <w:t>−2.79</w:t>
      </w:r>
      <w:r w:rsidRPr="00C6196F">
        <w:rPr>
          <w:rFonts w:eastAsiaTheme="minorEastAsia" w:cstheme="minorBidi"/>
          <w:b w:val="0"/>
          <w:bCs w:val="0"/>
          <w:color w:val="auto"/>
          <w:highlight w:val="yellow"/>
        </w:rPr>
        <w:t xml:space="preserve"> and the other variables Na+ level</w:t>
      </w:r>
      <w:r w:rsidR="00C92DC0">
        <w:rPr>
          <w:rFonts w:eastAsiaTheme="minorEastAsia" w:cstheme="minorBidi"/>
          <w:b w:val="0"/>
          <w:bCs w:val="0"/>
          <w:color w:val="auto"/>
          <w:highlight w:val="yellow"/>
        </w:rPr>
        <w:t>s</w:t>
      </w:r>
      <w:r w:rsidRPr="00C6196F">
        <w:rPr>
          <w:rFonts w:eastAsiaTheme="minorEastAsia" w:cstheme="minorBidi"/>
          <w:b w:val="0"/>
          <w:bCs w:val="0"/>
          <w:color w:val="auto"/>
          <w:highlight w:val="yellow"/>
        </w:rPr>
        <w:t>, growth phase, and Mg</w:t>
      </w:r>
      <w:r w:rsidRPr="00C92DC0">
        <w:rPr>
          <w:rFonts w:eastAsiaTheme="minorEastAsia" w:cstheme="minorBidi"/>
          <w:b w:val="0"/>
          <w:bCs w:val="0"/>
          <w:color w:val="auto"/>
          <w:highlight w:val="yellow"/>
          <w:vertAlign w:val="superscript"/>
        </w:rPr>
        <w:t>2+</w:t>
      </w:r>
      <w:r w:rsidRPr="00C6196F">
        <w:rPr>
          <w:rFonts w:eastAsiaTheme="minorEastAsia" w:cstheme="minorBidi"/>
          <w:b w:val="0"/>
          <w:bCs w:val="0"/>
          <w:color w:val="auto"/>
          <w:highlight w:val="yellow"/>
        </w:rPr>
        <w:t xml:space="preserve"> </w:t>
      </w:r>
      <w:r w:rsidR="00C92DC0">
        <w:rPr>
          <w:rFonts w:eastAsiaTheme="minorEastAsia" w:cstheme="minorBidi"/>
          <w:b w:val="0"/>
          <w:bCs w:val="0"/>
          <w:color w:val="auto"/>
          <w:highlight w:val="yellow"/>
        </w:rPr>
        <w:t xml:space="preserve">levels </w:t>
      </w:r>
      <w:r w:rsidRPr="00C6196F">
        <w:rPr>
          <w:rFonts w:eastAsiaTheme="minorEastAsia" w:cstheme="minorBidi"/>
          <w:b w:val="0"/>
          <w:bCs w:val="0"/>
          <w:color w:val="auto"/>
          <w:highlight w:val="yellow"/>
        </w:rPr>
        <w:t xml:space="preserve">were not clustered significantly with z scores </w:t>
      </w:r>
      <w:r w:rsidRPr="00C6196F">
        <w:rPr>
          <w:rFonts w:eastAsiaTheme="minorEastAsia" w:cstheme="minorBidi"/>
          <w:bCs w:val="0"/>
          <w:color w:val="auto"/>
          <w:highlight w:val="yellow"/>
        </w:rPr>
        <w:t>−1.74</w:t>
      </w:r>
      <w:r w:rsidRPr="00C6196F">
        <w:rPr>
          <w:rFonts w:eastAsiaTheme="minorEastAsia" w:cstheme="minorBidi"/>
          <w:b w:val="0"/>
          <w:bCs w:val="0"/>
          <w:color w:val="auto"/>
          <w:highlight w:val="yellow"/>
        </w:rPr>
        <w:t xml:space="preserve">, </w:t>
      </w:r>
      <w:r w:rsidRPr="00C6196F">
        <w:rPr>
          <w:rFonts w:eastAsiaTheme="minorEastAsia" w:cstheme="minorBidi"/>
          <w:bCs w:val="0"/>
          <w:color w:val="auto"/>
          <w:highlight w:val="yellow"/>
        </w:rPr>
        <w:t>−1.27</w:t>
      </w:r>
      <w:r w:rsidRPr="00C6196F">
        <w:rPr>
          <w:rFonts w:eastAsiaTheme="minorEastAsia" w:cstheme="minorBidi"/>
          <w:b w:val="0"/>
          <w:bCs w:val="0"/>
          <w:color w:val="auto"/>
          <w:highlight w:val="yellow"/>
        </w:rPr>
        <w:t xml:space="preserve">, and </w:t>
      </w:r>
      <w:r w:rsidRPr="00C6196F">
        <w:rPr>
          <w:rFonts w:eastAsiaTheme="minorEastAsia" w:cstheme="minorBidi"/>
          <w:bCs w:val="0"/>
          <w:color w:val="auto"/>
          <w:highlight w:val="yellow"/>
        </w:rPr>
        <w:t>−0.5</w:t>
      </w:r>
      <w:r w:rsidRPr="00C6196F">
        <w:rPr>
          <w:rFonts w:eastAsiaTheme="minorEastAsia" w:cstheme="minorBidi"/>
          <w:b w:val="0"/>
          <w:bCs w:val="0"/>
          <w:color w:val="auto"/>
          <w:highlight w:val="yellow"/>
        </w:rPr>
        <w:t xml:space="preserve"> respectively (Table 1). Batch number had a z-score of </w:t>
      </w:r>
      <w:r w:rsidRPr="00C6196F">
        <w:rPr>
          <w:rFonts w:eastAsiaTheme="minorEastAsia" w:cstheme="minorBidi"/>
          <w:bCs w:val="0"/>
          <w:color w:val="auto"/>
          <w:highlight w:val="yellow"/>
        </w:rPr>
        <w:t>−20.54</w:t>
      </w:r>
      <w:r w:rsidRPr="00C6196F">
        <w:rPr>
          <w:rFonts w:eastAsiaTheme="minorEastAsia" w:cstheme="minorBidi"/>
          <w:b w:val="0"/>
          <w:bCs w:val="0"/>
          <w:color w:val="auto"/>
          <w:highlight w:val="yellow"/>
        </w:rPr>
        <w:t>, which implies that there were strong batch effects present in the protein data. Thus, batch effects may represent fluctuations in incubator temperatures, slight differences in growth medium composition or water quality, or effects of reviving the initial inoculum of cells, among other possibilities.</w:t>
      </w:r>
    </w:p>
    <w:p w14:paraId="392AF618" w14:textId="03E72F73" w:rsidR="00305BF3" w:rsidRPr="00305BF3" w:rsidRDefault="00305BF3" w:rsidP="00305BF3">
      <w:pPr>
        <w:keepNext/>
        <w:keepLines/>
        <w:spacing w:before="200"/>
        <w:outlineLvl w:val="2"/>
        <w:rPr>
          <w:rFonts w:ascii="Calibri" w:eastAsia="ＭＳ 明朝" w:hAnsi="Calibri" w:cs="Times New Roman"/>
        </w:rPr>
      </w:pPr>
      <w:r w:rsidRPr="00305BF3">
        <w:rPr>
          <w:rFonts w:ascii="Calibri" w:eastAsia="ＭＳ 明朝" w:hAnsi="Calibri" w:cs="Times New Roman"/>
          <w:highlight w:val="yellow"/>
        </w:rPr>
        <w:t xml:space="preserve">In summary, two significant effects in mRNA abundances, are growth phase and Mg levels, whereas those clustering effects cannot be seen in proteins. On the other hand, carbon source, which does not have a clustering effect in mRNA data is the leading signal in protein data. </w:t>
      </w:r>
      <w:r w:rsidRPr="00305BF3">
        <w:rPr>
          <w:rFonts w:ascii="Calibri" w:eastAsia="Times New Roman" w:hAnsi="Calibri" w:cs="Times New Roman"/>
          <w:highlight w:val="yellow"/>
        </w:rPr>
        <w:t>Finally, protein data was strongly influenced by batch effects, but the batch effects are not that pronounced for mRNA data (Table 1</w:t>
      </w:r>
      <w:r w:rsidR="0017021E">
        <w:rPr>
          <w:rFonts w:ascii="Calibri" w:eastAsia="Times New Roman" w:hAnsi="Calibri" w:cs="Times New Roman"/>
          <w:highlight w:val="yellow"/>
        </w:rPr>
        <w:t xml:space="preserve">, </w:t>
      </w:r>
      <w:r w:rsidR="00AD3658">
        <w:rPr>
          <w:rFonts w:ascii="Calibri" w:eastAsia="Times New Roman" w:hAnsi="Calibri" w:cs="Times New Roman"/>
          <w:highlight w:val="yellow"/>
        </w:rPr>
        <w:t>Supplementary T</w:t>
      </w:r>
      <w:r w:rsidR="00AF1437">
        <w:rPr>
          <w:rFonts w:ascii="Calibri" w:eastAsia="Times New Roman" w:hAnsi="Calibri" w:cs="Times New Roman"/>
          <w:highlight w:val="yellow"/>
        </w:rPr>
        <w:t xml:space="preserve">able </w:t>
      </w:r>
      <w:r w:rsidR="0017021E">
        <w:rPr>
          <w:rFonts w:ascii="Calibri" w:eastAsia="Times New Roman" w:hAnsi="Calibri" w:cs="Times New Roman"/>
          <w:highlight w:val="yellow"/>
        </w:rPr>
        <w:t>S4, S5</w:t>
      </w:r>
      <w:r w:rsidRPr="00305BF3">
        <w:rPr>
          <w:rFonts w:ascii="Calibri" w:eastAsia="Times New Roman" w:hAnsi="Calibri" w:cs="Times New Roman"/>
          <w:highlight w:val="yellow"/>
        </w:rPr>
        <w:t>).</w:t>
      </w:r>
    </w:p>
    <w:p w14:paraId="675CCEFF" w14:textId="5ABCEA16" w:rsidR="009B7FDB" w:rsidRPr="009B7FDB" w:rsidRDefault="009B7FDB" w:rsidP="00BC11E9">
      <w:pPr>
        <w:pStyle w:val="Heading3"/>
      </w:pPr>
      <w:r>
        <w:t>Identification of differentially expressed genes</w:t>
      </w:r>
    </w:p>
    <w:p w14:paraId="30931C6A" w14:textId="59550A63" w:rsidR="00B527E2" w:rsidRPr="00B527E2" w:rsidRDefault="00E271BC" w:rsidP="00B527E2">
      <w:pPr>
        <w:rPr>
          <w:rFonts w:ascii="Times New Roman" w:eastAsia="Times New Roman" w:hAnsi="Times New Roman" w:cs="Times New Roman"/>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B95CC9">
        <w:rPr>
          <w:color w:val="000000" w:themeColor="text1"/>
        </w:rPr>
        <w:t xml:space="preserve"> </w:t>
      </w:r>
      <w:r w:rsidR="00B95CC9" w:rsidRPr="00797DEE">
        <w:rPr>
          <w:color w:val="000000" w:themeColor="text1"/>
          <w:highlight w:val="yellow"/>
        </w:rPr>
        <w:t>(</w:t>
      </w:r>
      <w:r w:rsidR="00797DEE" w:rsidRPr="00797DEE">
        <w:rPr>
          <w:color w:val="000000" w:themeColor="text1"/>
          <w:highlight w:val="yellow"/>
        </w:rPr>
        <w:t xml:space="preserve">Supplementary Table </w:t>
      </w:r>
      <w:r w:rsidR="00797DEE">
        <w:rPr>
          <w:color w:val="000000" w:themeColor="text1"/>
          <w:highlight w:val="yellow"/>
        </w:rPr>
        <w:t>S</w:t>
      </w:r>
      <w:r w:rsidR="00797DEE" w:rsidRPr="00797DEE">
        <w:rPr>
          <w:color w:val="000000" w:themeColor="text1"/>
          <w:highlight w:val="yellow"/>
        </w:rPr>
        <w:t>6</w:t>
      </w:r>
      <w:r w:rsidR="00B95CC9">
        <w:rPr>
          <w:color w:val="000000" w:themeColor="text1"/>
        </w:rPr>
        <w:t>)</w:t>
      </w:r>
      <w:r w:rsidR="006D1FF6" w:rsidRPr="00964F22">
        <w:rPr>
          <w:color w:val="000000" w:themeColor="text1"/>
        </w:rPr>
        <w:t>.</w:t>
      </w:r>
    </w:p>
    <w:p w14:paraId="15506C59" w14:textId="3B256505"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C3164" w:rsidRPr="00AC3164">
        <w:rPr>
          <w:color w:val="000000" w:themeColor="text1"/>
          <w:highlight w:val="yellow"/>
        </w:rPr>
        <w:t>,</w:t>
      </w:r>
      <w:r w:rsidR="002C36F2" w:rsidRPr="00AC3164">
        <w:rPr>
          <w:color w:val="000000" w:themeColor="text1"/>
          <w:highlight w:val="yellow"/>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B527E2" w:rsidRPr="00B527E2">
        <w:rPr>
          <w:color w:val="000000" w:themeColor="text1"/>
          <w:highlight w:val="yellow"/>
        </w:rPr>
        <w:t>Since we analyze exponential and stationary phase separately, we used separate base levels for exponential and stationary growth phases</w:t>
      </w:r>
      <w:r w:rsidR="00724C3D">
        <w:rPr>
          <w:color w:val="000000" w:themeColor="text1"/>
          <w:highlight w:val="yellow"/>
        </w:rPr>
        <w:t xml:space="preserve">. </w:t>
      </w:r>
      <w:r w:rsidR="00724C3D" w:rsidRPr="00724C3D">
        <w:rPr>
          <w:color w:val="000000" w:themeColor="text1"/>
          <w:highlight w:val="yellow"/>
        </w:rPr>
        <w:t>We omit a comparison of exponential to stationary phase, since this was the main topic of our earlier publication</w:t>
      </w:r>
      <w:r w:rsidR="00A12D65" w:rsidRPr="00204686">
        <w:rPr>
          <w:color w:val="000000" w:themeColor="text1"/>
          <w:highlight w:val="yellow"/>
        </w:rPr>
        <w:fldChar w:fldCharType="begin"/>
      </w:r>
      <w:r w:rsidR="00204686" w:rsidRPr="00204686">
        <w:rPr>
          <w:color w:val="000000" w:themeColor="text1"/>
          <w:highlight w:val="yellow"/>
        </w:rPr>
        <w:instrText xml:space="preserve"> ADDIN ZOTERO_ITEM CSL_CITATION {"citationID":"lsuk0562l","properties":{"formattedCitation":"{\\rtf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A12D65" w:rsidRPr="00204686">
        <w:rPr>
          <w:color w:val="000000" w:themeColor="text1"/>
          <w:highlight w:val="yellow"/>
        </w:rPr>
        <w:fldChar w:fldCharType="separate"/>
      </w:r>
      <w:r w:rsidR="00204686" w:rsidRPr="00204686">
        <w:rPr>
          <w:rFonts w:ascii="Calibri" w:eastAsia="Times New Roman" w:cs="Times New Roman"/>
          <w:color w:val="000000"/>
          <w:highlight w:val="yellow"/>
          <w:vertAlign w:val="superscript"/>
        </w:rPr>
        <w:t>10</w:t>
      </w:r>
      <w:r w:rsidR="00A12D65" w:rsidRPr="00204686">
        <w:rPr>
          <w:color w:val="000000" w:themeColor="text1"/>
          <w:highlight w:val="yellow"/>
        </w:rPr>
        <w:fldChar w:fldCharType="end"/>
      </w:r>
      <w:r w:rsidR="00B527E2" w:rsidRPr="00B527E2">
        <w:rPr>
          <w:color w:val="000000" w:themeColor="text1"/>
          <w:highlight w:val="yellow"/>
        </w:rPr>
        <w:t>.</w:t>
      </w:r>
      <w:r w:rsidR="00B527E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352962">
        <w:rPr>
          <w:bCs/>
          <w:color w:val="000000" w:themeColor="text1"/>
        </w:rPr>
        <w:instrText xml:space="preserve"> ADDIN ZOTERO_ITEM CSL_CITATION {"citationID":"P6psWiO0","properties":{"formattedCitation":"{\\rtf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1376A" w:rsidRPr="00964F22">
        <w:rPr>
          <w:bCs/>
          <w:color w:val="000000" w:themeColor="text1"/>
        </w:rPr>
        <w:fldChar w:fldCharType="separate"/>
      </w:r>
      <w:r w:rsidR="00150EA6" w:rsidRPr="0083485A">
        <w:rPr>
          <w:rFonts w:ascii="Calibri"/>
          <w:color w:val="000000"/>
          <w:vertAlign w:val="superscript"/>
        </w:rPr>
        <w:t>10</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34C2FC7D"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sidR="00797DEE">
        <w:rPr>
          <w:color w:val="000000" w:themeColor="text1"/>
        </w:rPr>
        <w:t xml:space="preserve"> </w:t>
      </w:r>
      <w:r w:rsidR="00797DEE" w:rsidRPr="00797DEE">
        <w:rPr>
          <w:color w:val="000000" w:themeColor="text1"/>
          <w:highlight w:val="yellow"/>
        </w:rPr>
        <w:t>(Supplementary Table S7)</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xml:space="preserve">). </w:t>
      </w:r>
      <w:r w:rsidR="00405B86" w:rsidRPr="00F968A5">
        <w:rPr>
          <w:color w:val="000000" w:themeColor="text1"/>
          <w:highlight w:val="green"/>
        </w:rPr>
        <w:t>In general</w:t>
      </w:r>
      <w:r w:rsidRPr="00F968A5">
        <w:rPr>
          <w:color w:val="000000" w:themeColor="text1"/>
          <w:highlight w:val="green"/>
        </w:rPr>
        <w:t>,</w:t>
      </w:r>
      <w:r w:rsidR="00C72465" w:rsidRPr="00F968A5">
        <w:rPr>
          <w:color w:val="000000" w:themeColor="text1"/>
          <w:highlight w:val="green"/>
        </w:rPr>
        <w:t xml:space="preserve"> there we</w:t>
      </w:r>
      <w:r w:rsidR="00405B86" w:rsidRPr="00F968A5">
        <w:rPr>
          <w:color w:val="000000" w:themeColor="text1"/>
          <w:highlight w:val="green"/>
        </w:rPr>
        <w:t xml:space="preserve">re fewer differentially expressed genes in stationary phase </w:t>
      </w:r>
      <w:r w:rsidR="00C72465" w:rsidRPr="00F968A5">
        <w:rPr>
          <w:color w:val="000000" w:themeColor="text1"/>
          <w:highlight w:val="green"/>
        </w:rPr>
        <w:t xml:space="preserve">than in </w:t>
      </w:r>
      <w:r w:rsidR="004A469C" w:rsidRPr="00F968A5">
        <w:rPr>
          <w:color w:val="000000" w:themeColor="text1"/>
          <w:highlight w:val="green"/>
        </w:rPr>
        <w:t>exponential phase</w:t>
      </w:r>
      <w:r w:rsidR="004A469C">
        <w:rPr>
          <w:color w:val="000000" w:themeColor="text1"/>
        </w:rPr>
        <w:t xml:space="preserve">. </w:t>
      </w:r>
      <w:r w:rsidR="004A469C" w:rsidRPr="00F968A5">
        <w:rPr>
          <w:color w:val="000000" w:themeColor="text1"/>
          <w:highlight w:val="green"/>
        </w:rPr>
        <w:t>Further, protein abundances showed the most differential regulation for high Na</w:t>
      </w:r>
      <w:r w:rsidR="00BD3AFB" w:rsidRPr="00282413">
        <w:rPr>
          <w:color w:val="000000" w:themeColor="text1"/>
          <w:highlight w:val="green"/>
          <w:vertAlign w:val="superscript"/>
        </w:rPr>
        <w:t>+</w:t>
      </w:r>
      <w:r w:rsidR="004A469C" w:rsidRPr="00282413">
        <w:rPr>
          <w:color w:val="000000" w:themeColor="text1"/>
          <w:highlight w:val="green"/>
          <w:vertAlign w:val="superscript"/>
        </w:rPr>
        <w:t xml:space="preserve"> </w:t>
      </w:r>
      <w:r w:rsidR="004A469C" w:rsidRPr="00282413">
        <w:rPr>
          <w:color w:val="000000" w:themeColor="text1"/>
          <w:highlight w:val="green"/>
        </w:rPr>
        <w:t>and for the carbon source</w:t>
      </w:r>
      <w:r w:rsidR="00447686" w:rsidRPr="00282413">
        <w:rPr>
          <w:color w:val="000000" w:themeColor="text1"/>
          <w:highlight w:val="green"/>
        </w:rPr>
        <w:t>s</w:t>
      </w:r>
      <w:r w:rsidR="004A469C" w:rsidRPr="00282413">
        <w:rPr>
          <w:color w:val="000000" w:themeColor="text1"/>
          <w:highlight w:val="green"/>
        </w:rPr>
        <w:t xml:space="preserve"> glycerol</w:t>
      </w:r>
      <w:r w:rsidR="00447686" w:rsidRPr="00282413">
        <w:rPr>
          <w:color w:val="000000" w:themeColor="text1"/>
          <w:highlight w:val="green"/>
        </w:rPr>
        <w:t xml:space="preserve"> and lactate</w:t>
      </w:r>
      <w:r w:rsidR="004A469C" w:rsidRPr="00282413">
        <w:rPr>
          <w:color w:val="000000" w:themeColor="text1"/>
          <w:highlight w:val="green"/>
        </w:rPr>
        <w:t>,</w:t>
      </w:r>
      <w:r w:rsidR="004A469C">
        <w:rPr>
          <w:color w:val="000000" w:themeColor="text1"/>
        </w:rPr>
        <w:t xml:space="preserve"> </w:t>
      </w:r>
      <w:r w:rsidR="004A469C" w:rsidRPr="00282413">
        <w:rPr>
          <w:color w:val="000000" w:themeColor="text1"/>
          <w:highlight w:val="green"/>
        </w:rPr>
        <w:t xml:space="preserve">whereas mRNA showed the most differential regulation for </w:t>
      </w:r>
      <w:r w:rsidR="007F640D" w:rsidRPr="00282413">
        <w:rPr>
          <w:color w:val="000000" w:themeColor="text1"/>
          <w:highlight w:val="green"/>
        </w:rPr>
        <w:t>high Na</w:t>
      </w:r>
      <w:r w:rsidR="00BD3AFB" w:rsidRPr="00282413">
        <w:rPr>
          <w:bCs/>
          <w:highlight w:val="green"/>
          <w:vertAlign w:val="superscript"/>
        </w:rPr>
        <w:t>+</w:t>
      </w:r>
      <w:r w:rsidR="004A469C" w:rsidRPr="00282413">
        <w:rPr>
          <w:highlight w:val="green"/>
        </w:rPr>
        <w:t xml:space="preserve"> levels </w:t>
      </w:r>
      <w:r w:rsidR="00447686" w:rsidRPr="00282413">
        <w:rPr>
          <w:highlight w:val="green"/>
        </w:rPr>
        <w:t xml:space="preserve">in stationary phase, and for low </w:t>
      </w:r>
      <w:r w:rsidR="00447686" w:rsidRPr="00282413">
        <w:rPr>
          <w:bCs/>
          <w:highlight w:val="green"/>
        </w:rPr>
        <w:t>Mg</w:t>
      </w:r>
      <w:r w:rsidR="00447686" w:rsidRPr="00282413">
        <w:rPr>
          <w:bCs/>
          <w:highlight w:val="green"/>
          <w:vertAlign w:val="superscript"/>
        </w:rPr>
        <w:t>2+</w:t>
      </w:r>
      <w:r w:rsidR="00447686" w:rsidRPr="00282413">
        <w:rPr>
          <w:highlight w:val="green"/>
        </w:rPr>
        <w:t xml:space="preserve"> levels</w:t>
      </w:r>
      <w:r w:rsidR="00447686">
        <w:t xml:space="preserve"> </w:t>
      </w:r>
      <w:r w:rsidR="00447686" w:rsidRPr="000B095E">
        <w:rPr>
          <w:highlight w:val="yellow"/>
        </w:rPr>
        <w:t xml:space="preserve">and for the carbon </w:t>
      </w:r>
      <w:r w:rsidR="00282413" w:rsidRPr="000B095E">
        <w:rPr>
          <w:highlight w:val="yellow"/>
        </w:rPr>
        <w:t>source</w:t>
      </w:r>
      <w:r w:rsidR="00447686" w:rsidRPr="000B095E">
        <w:rPr>
          <w:highlight w:val="yellow"/>
        </w:rPr>
        <w:t xml:space="preserve"> </w:t>
      </w:r>
      <w:r w:rsidR="007F640D" w:rsidRPr="000B095E">
        <w:rPr>
          <w:highlight w:val="yellow"/>
        </w:rPr>
        <w:t>lactate</w:t>
      </w:r>
      <w:r w:rsidR="00447686" w:rsidRPr="000B095E">
        <w:rPr>
          <w:highlight w:val="yellow"/>
        </w:rPr>
        <w:t xml:space="preserve"> </w:t>
      </w:r>
      <w:r w:rsidR="00282413" w:rsidRPr="000B095E">
        <w:rPr>
          <w:highlight w:val="yellow"/>
        </w:rPr>
        <w:t xml:space="preserve"> and low Mg</w:t>
      </w:r>
      <w:r w:rsidR="00282413" w:rsidRPr="000B095E">
        <w:rPr>
          <w:highlight w:val="yellow"/>
          <w:vertAlign w:val="superscript"/>
        </w:rPr>
        <w:t>2+</w:t>
      </w:r>
      <w:r w:rsidR="00282413" w:rsidRPr="000B095E">
        <w:rPr>
          <w:highlight w:val="yellow"/>
        </w:rPr>
        <w:t xml:space="preserve"> levels </w:t>
      </w:r>
      <w:r w:rsidR="00447686" w:rsidRPr="000B095E">
        <w:rPr>
          <w:highlight w:val="yellow"/>
        </w:rPr>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6E2A6D27"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38768F">
        <w:rPr>
          <w:highlight w:val="green"/>
        </w:rPr>
        <w:t xml:space="preserve">At the mRNA level, there was </w:t>
      </w:r>
      <w:r w:rsidR="0038768F">
        <w:rPr>
          <w:highlight w:val="green"/>
        </w:rPr>
        <w:t>some overlap (23.2</w:t>
      </w:r>
      <w:r w:rsidR="00447686" w:rsidRPr="0038768F">
        <w:rPr>
          <w:highlight w:val="green"/>
        </w:rPr>
        <w:t>%) between carbon source and</w:t>
      </w:r>
      <w:r w:rsidR="007F640D" w:rsidRPr="0038768F">
        <w:rPr>
          <w:highlight w:val="green"/>
        </w:rPr>
        <w:t xml:space="preserve"> Mg</w:t>
      </w:r>
      <w:r w:rsidR="00D51F87" w:rsidRPr="0038768F">
        <w:rPr>
          <w:highlight w:val="green"/>
          <w:vertAlign w:val="superscript"/>
        </w:rPr>
        <w:t>2+</w:t>
      </w:r>
      <w:r w:rsidR="00447686" w:rsidRPr="0038768F">
        <w:rPr>
          <w:highlight w:val="green"/>
        </w:rPr>
        <w:t xml:space="preserve"> stress </w:t>
      </w:r>
      <w:r w:rsidR="00D51F87" w:rsidRPr="0038768F">
        <w:rPr>
          <w:highlight w:val="green"/>
        </w:rPr>
        <w:t xml:space="preserve">in exponential </w:t>
      </w:r>
      <w:r w:rsidR="00447686" w:rsidRPr="0038768F">
        <w:rPr>
          <w:highlight w:val="green"/>
        </w:rPr>
        <w:t>phase. All other overlaps where minimal, ~5% or less</w:t>
      </w:r>
      <w:r w:rsidR="007F640D" w:rsidRPr="003E404F">
        <w:t xml:space="preserve"> (Figure 6).</w:t>
      </w:r>
      <w:r w:rsidR="00D51F87" w:rsidRPr="003E404F">
        <w:t xml:space="preserve"> </w:t>
      </w:r>
      <w:r w:rsidR="00D51F87" w:rsidRPr="0038768F">
        <w:rPr>
          <w:highlight w:val="green"/>
        </w:rPr>
        <w:t>At th</w:t>
      </w:r>
      <w:r w:rsidR="00447686" w:rsidRPr="0038768F">
        <w:rPr>
          <w:highlight w:val="green"/>
        </w:rPr>
        <w:t xml:space="preserve">e protein level, there was </w:t>
      </w:r>
      <w:r w:rsidR="00D51F87" w:rsidRPr="0038768F">
        <w:rPr>
          <w:highlight w:val="green"/>
        </w:rPr>
        <w:t>overlap between Na</w:t>
      </w:r>
      <w:r w:rsidR="00D51F87" w:rsidRPr="0038768F">
        <w:rPr>
          <w:highlight w:val="green"/>
          <w:vertAlign w:val="superscript"/>
        </w:rPr>
        <w:t>+</w:t>
      </w:r>
      <w:r w:rsidR="00D51F87" w:rsidRPr="0038768F">
        <w:rPr>
          <w:highlight w:val="green"/>
        </w:rPr>
        <w:t xml:space="preserve"> stress and </w:t>
      </w:r>
      <w:r w:rsidR="00447686" w:rsidRPr="0038768F">
        <w:rPr>
          <w:highlight w:val="green"/>
        </w:rPr>
        <w:t>carbon source</w:t>
      </w:r>
      <w:r w:rsidR="0038768F">
        <w:rPr>
          <w:highlight w:val="green"/>
        </w:rPr>
        <w:t xml:space="preserve"> (15.6</w:t>
      </w:r>
      <w:r w:rsidR="00447686" w:rsidRPr="0038768F">
        <w:rPr>
          <w:highlight w:val="green"/>
        </w:rPr>
        <w:t>% in exponential phase</w:t>
      </w:r>
      <w:r w:rsidR="00447686">
        <w:t xml:space="preserve">, </w:t>
      </w:r>
      <w:r w:rsidR="00447686" w:rsidRPr="0038768F">
        <w:rPr>
          <w:highlight w:val="green"/>
        </w:rPr>
        <w:t>10.7% in stationary phase), while all other overlaps were also minimal, ~3% or less</w:t>
      </w:r>
      <w:r w:rsidR="00D51F87" w:rsidRPr="0038768F">
        <w:rPr>
          <w:highlight w:val="green"/>
        </w:rPr>
        <w:t xml:space="preserve"> (Figure 6).</w:t>
      </w:r>
    </w:p>
    <w:p w14:paraId="555664F3" w14:textId="77777777" w:rsidR="009F4A72" w:rsidRPr="009C6843" w:rsidRDefault="009F4A72" w:rsidP="005E0DA3"/>
    <w:p w14:paraId="2F8DA8B0" w14:textId="25C78F85"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327F79" w:rsidRPr="00327F79">
        <w:rPr>
          <w:highlight w:val="yellow"/>
        </w:rPr>
        <w:t>Supplementary Table S8</w:t>
      </w:r>
      <w:r w:rsidR="00327F79">
        <w:t>)</w:t>
      </w:r>
      <w:r w:rsidR="00667D70" w:rsidRPr="001477BA">
        <w:t xml:space="preserve">.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B33CF3" w:rsidRPr="005C7FE7">
        <w:rPr>
          <w:highlight w:val="yellow"/>
        </w:rPr>
        <w:t xml:space="preserve">and </w:t>
      </w:r>
      <w:r w:rsidR="008B6FF4" w:rsidRPr="005C7FE7">
        <w:rPr>
          <w:highlight w:val="yellow"/>
        </w:rPr>
        <w:t>GO annotations</w:t>
      </w:r>
      <w:r w:rsidR="00B33CF3" w:rsidRPr="005C7FE7">
        <w:rPr>
          <w:highlight w:val="yellow"/>
        </w:rPr>
        <w:t xml:space="preserve"> that are significantly altered</w:t>
      </w:r>
      <w:r w:rsidR="009B4430" w:rsidRPr="005C7FE7">
        <w:rPr>
          <w:highlight w:val="yellow"/>
        </w:rPr>
        <w:t xml:space="preserve"> (Figure S1)</w:t>
      </w:r>
      <w:r w:rsidR="0038333A" w:rsidRPr="005C7FE7">
        <w:rPr>
          <w:highlight w:val="yellow"/>
        </w:rPr>
        <w:t>.</w:t>
      </w:r>
    </w:p>
    <w:p w14:paraId="7E0850BB" w14:textId="200E0727" w:rsidR="00EB10EC" w:rsidRPr="00EB10EC" w:rsidRDefault="001477BA" w:rsidP="005E0DA3">
      <w:pPr>
        <w:rPr>
          <w:color w:val="0000FF"/>
        </w:rPr>
      </w:pPr>
      <w:r w:rsidRPr="001477BA">
        <w:t xml:space="preserve">Finally, we looked at individual, differentially expressed genes associated with specific pathways and/or </w:t>
      </w:r>
      <w:r w:rsidRPr="007A18E3">
        <w:t>functions (</w:t>
      </w:r>
      <w:r w:rsidR="002C37BA" w:rsidRPr="007A18E3">
        <w:t xml:space="preserve">Supplementary </w:t>
      </w:r>
      <w:r w:rsidRPr="007D66DF">
        <w:rPr>
          <w:highlight w:val="yellow"/>
        </w:rPr>
        <w:t>F</w:t>
      </w:r>
      <w:r w:rsidR="009E12B3" w:rsidRPr="007D66DF">
        <w:rPr>
          <w:highlight w:val="yellow"/>
        </w:rPr>
        <w:t>igures</w:t>
      </w:r>
      <w:r w:rsidR="00FF43E9" w:rsidRPr="007D66DF">
        <w:rPr>
          <w:highlight w:val="yellow"/>
        </w:rPr>
        <w:t xml:space="preserve"> </w:t>
      </w:r>
      <w:r w:rsidR="0037707E" w:rsidRPr="007D66DF">
        <w:rPr>
          <w:highlight w:val="yellow"/>
        </w:rPr>
        <w:t>2–</w:t>
      </w:r>
      <w:r w:rsidR="007D66DF" w:rsidRPr="007D66DF">
        <w:rPr>
          <w:highlight w:val="yellow"/>
        </w:rPr>
        <w:t>33</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counter</w:t>
      </w:r>
      <w:r w:rsidR="007D66DF">
        <w:t xml:space="preserve"> </w:t>
      </w:r>
      <w:r w:rsidR="00A4264B">
        <w:t xml:space="preserve">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Pr="001477BA">
        <w:t xml:space="preserve">By contrast, </w:t>
      </w:r>
      <w:r w:rsidR="00D73E39">
        <w:t>using lactate</w:t>
      </w:r>
      <w:r w:rsidR="00531403">
        <w:t xml:space="preserve"> instead of glucose </w:t>
      </w:r>
      <w:r w:rsidR="00BA7DA3">
        <w:t xml:space="preserve">as carbon source </w:t>
      </w:r>
      <w:r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7EFC9B6C" w:rsidR="00CD652A" w:rsidRDefault="00CD652A" w:rsidP="005E0DA3">
      <w:r w:rsidRPr="0079593C">
        <w:rPr>
          <w:highlight w:val="yellow"/>
        </w:rPr>
        <w:t>We also investigate the possible effects of controlling for growth rate in addition to batch effects for all DeSeq2 analyze of all comparisons and look for the change between the significantly changed genes</w:t>
      </w:r>
      <w:r w:rsidR="003B2441">
        <w:rPr>
          <w:highlight w:val="yellow"/>
        </w:rPr>
        <w:t xml:space="preserve"> between two different controls; “batch” vs “batch + growth rate”.</w:t>
      </w:r>
      <w:r w:rsidRPr="0079593C">
        <w:rPr>
          <w:highlight w:val="yellow"/>
        </w:rPr>
        <w:t xml:space="preserve"> It seems the most of the time the change is minimal; i.e. most of the significantly changed genes for “batch” are also the significantly changed genes for “batch + growth rate” (</w:t>
      </w:r>
      <w:r w:rsidRPr="0079593C">
        <w:rPr>
          <w:color w:val="000000" w:themeColor="text1"/>
          <w:highlight w:val="yellow"/>
        </w:rPr>
        <w:t>Supplementary Tables S6</w:t>
      </w:r>
      <w:r w:rsidR="00762784">
        <w:rPr>
          <w:color w:val="000000" w:themeColor="text1"/>
          <w:highlight w:val="yellow"/>
        </w:rPr>
        <w:t>,</w:t>
      </w:r>
      <w:r w:rsidRPr="0079593C">
        <w:rPr>
          <w:color w:val="000000" w:themeColor="text1"/>
          <w:highlight w:val="yellow"/>
        </w:rPr>
        <w:t xml:space="preserve"> S7)</w:t>
      </w:r>
      <w:r w:rsidRPr="0079593C">
        <w:rPr>
          <w:highlight w:val="yellow"/>
        </w:rPr>
        <w:t xml:space="preserve">. The significant exception is related </w:t>
      </w:r>
      <w:r w:rsidR="0055297F" w:rsidRPr="0079593C">
        <w:rPr>
          <w:highlight w:val="yellow"/>
        </w:rPr>
        <w:t>with protein data and carbon sources. Many new genes are significantly alte</w:t>
      </w:r>
      <w:r w:rsidR="008F76F5">
        <w:rPr>
          <w:highlight w:val="yellow"/>
        </w:rPr>
        <w:t>red (Supplementary Figure 34</w:t>
      </w:r>
      <w:r w:rsidR="00CA2212">
        <w:rPr>
          <w:highlight w:val="yellow"/>
        </w:rPr>
        <w:t>, Supplementary T</w:t>
      </w:r>
      <w:r w:rsidR="008F76F5">
        <w:rPr>
          <w:highlight w:val="yellow"/>
        </w:rPr>
        <w:t>able S9</w:t>
      </w:r>
      <w:r w:rsidR="0055297F" w:rsidRPr="0079593C">
        <w:rPr>
          <w:highlight w:val="yellow"/>
        </w:rPr>
        <w:t>) for controlling growth rate for proteins related with altering carbon sources.</w:t>
      </w:r>
      <w:r w:rsidR="00937825">
        <w:rPr>
          <w:highlight w:val="yellow"/>
        </w:rPr>
        <w:t xml:space="preserve"> We focus on this subgroup of genes since it seems they are the main difference between the outputs of two different controls. Then</w:t>
      </w:r>
      <w:r w:rsidR="0055297F" w:rsidRPr="0079593C">
        <w:rPr>
          <w:highlight w:val="yellow"/>
        </w:rPr>
        <w:t xml:space="preserve"> we focus on those genes and look for significantly altered pathways associated with them</w:t>
      </w:r>
      <w:r w:rsidR="00663ABD">
        <w:rPr>
          <w:highlight w:val="yellow"/>
        </w:rPr>
        <w:t xml:space="preserve"> with the help of DAVID</w:t>
      </w:r>
      <w:r w:rsidR="00663ABD">
        <w:rPr>
          <w:highlight w:val="yellow"/>
        </w:rPr>
        <w:fldChar w:fldCharType="begin"/>
      </w:r>
      <w:r w:rsidR="00663ABD">
        <w:rPr>
          <w:highlight w:val="yellow"/>
        </w:rPr>
        <w:instrText xml:space="preserve"> ADDIN ZOTERO_ITEM CSL_CITATION {"citationID":"1ccps5vibk","properties":{"formattedCitation":"{\\rtf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663ABD">
        <w:rPr>
          <w:highlight w:val="yellow"/>
        </w:rPr>
        <w:fldChar w:fldCharType="separate"/>
      </w:r>
      <w:r w:rsidR="00663ABD" w:rsidRPr="00663ABD">
        <w:rPr>
          <w:rFonts w:ascii="Calibri" w:eastAsia="Times New Roman" w:cs="Times New Roman"/>
          <w:vertAlign w:val="superscript"/>
        </w:rPr>
        <w:t>20</w:t>
      </w:r>
      <w:r w:rsidR="00663ABD">
        <w:rPr>
          <w:highlight w:val="yellow"/>
        </w:rPr>
        <w:fldChar w:fldCharType="end"/>
      </w:r>
      <w:r w:rsidR="00663ABD">
        <w:rPr>
          <w:highlight w:val="yellow"/>
        </w:rPr>
        <w:t xml:space="preserve"> web services</w:t>
      </w:r>
      <w:r w:rsidR="0055297F" w:rsidRPr="0079593C">
        <w:rPr>
          <w:highlight w:val="yellow"/>
        </w:rPr>
        <w:t xml:space="preserve"> </w:t>
      </w:r>
      <w:r w:rsidR="00937825">
        <w:rPr>
          <w:highlight w:val="yellow"/>
        </w:rPr>
        <w:t xml:space="preserve">, we run 2 different tests; one for all proteins significantly changed only under </w:t>
      </w:r>
      <w:r w:rsidR="00937825" w:rsidRPr="0079593C">
        <w:rPr>
          <w:highlight w:val="yellow"/>
        </w:rPr>
        <w:t>“batch + growth rate”</w:t>
      </w:r>
      <w:r w:rsidR="00937825">
        <w:rPr>
          <w:highlight w:val="yellow"/>
        </w:rPr>
        <w:t xml:space="preserve"> control and associated with </w:t>
      </w:r>
      <w:r w:rsidR="00937825" w:rsidRPr="00937825">
        <w:rPr>
          <w:highlight w:val="yellow"/>
        </w:rPr>
        <w:t>changes in carbon sources in exponential phase, and the other is in stationary phase .W</w:t>
      </w:r>
      <w:r w:rsidR="0055297F" w:rsidRPr="00937825">
        <w:rPr>
          <w:highlight w:val="yellow"/>
        </w:rPr>
        <w:t xml:space="preserve">e </w:t>
      </w:r>
      <w:r w:rsidR="00663ABD" w:rsidRPr="00937825">
        <w:rPr>
          <w:highlight w:val="yellow"/>
        </w:rPr>
        <w:t xml:space="preserve">found the </w:t>
      </w:r>
      <w:r w:rsidR="001E0F2B" w:rsidRPr="00937825">
        <w:rPr>
          <w:highlight w:val="yellow"/>
        </w:rPr>
        <w:t xml:space="preserve">most </w:t>
      </w:r>
      <w:r w:rsidR="00937825" w:rsidRPr="00937825">
        <w:rPr>
          <w:highlight w:val="yellow"/>
        </w:rPr>
        <w:t>significantly altered pathway</w:t>
      </w:r>
      <w:r w:rsidR="00937825">
        <w:rPr>
          <w:highlight w:val="yellow"/>
        </w:rPr>
        <w:t xml:space="preserve"> </w:t>
      </w:r>
      <w:r w:rsidR="001E0F2B" w:rsidRPr="00937825">
        <w:rPr>
          <w:highlight w:val="yellow"/>
        </w:rPr>
        <w:t>is biosynthesis for both exponential and stationary phases</w:t>
      </w:r>
      <w:r w:rsidR="009D4B9A">
        <w:rPr>
          <w:highlight w:val="yellow"/>
        </w:rPr>
        <w:t xml:space="preserve"> (Supplementary Table 10</w:t>
      </w:r>
      <w:bookmarkStart w:id="1" w:name="_GoBack"/>
      <w:bookmarkEnd w:id="1"/>
      <w:r w:rsidR="009D4B9A">
        <w:rPr>
          <w:highlight w:val="yellow"/>
        </w:rPr>
        <w:t>)</w:t>
      </w:r>
      <w:r w:rsidR="001E0F2B" w:rsidRPr="00937825">
        <w:rPr>
          <w:highlight w:val="yellow"/>
        </w:rPr>
        <w:t>.</w:t>
      </w:r>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2CACB7C5"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w:t>
      </w:r>
      <w:r w:rsidR="007443C0" w:rsidRPr="00273004">
        <w:rPr>
          <w:highlight w:val="yellow"/>
        </w:rPr>
        <w:t>Supplementary Figure</w:t>
      </w:r>
      <w:r w:rsidR="00273004" w:rsidRPr="00273004">
        <w:rPr>
          <w:highlight w:val="yellow"/>
        </w:rPr>
        <w:t xml:space="preserve"> 35</w:t>
      </w:r>
      <w:r w:rsidR="007443C0" w:rsidRPr="00273004">
        <w:rPr>
          <w:highlight w:val="yellow"/>
        </w:rPr>
        <w:t>)</w:t>
      </w:r>
      <w:r w:rsidR="00A23289" w:rsidRPr="00273004">
        <w:rPr>
          <w:highlight w:val="yellow"/>
        </w:rPr>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w:t>
      </w:r>
      <w:r w:rsidR="00AD3658" w:rsidRPr="00273004">
        <w:rPr>
          <w:highlight w:val="yellow"/>
        </w:rPr>
        <w:t>, Supplementary Table S</w:t>
      </w:r>
      <w:r w:rsidR="003B617A" w:rsidRPr="00273004">
        <w:rPr>
          <w:highlight w:val="yellow"/>
        </w:rPr>
        <w:t>12</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 xml:space="preserve">orrection, </w:t>
      </w:r>
      <w:r w:rsidR="00AD3658" w:rsidRPr="00273004">
        <w:rPr>
          <w:highlight w:val="yellow"/>
        </w:rPr>
        <w:t>Supplementary Table S</w:t>
      </w:r>
      <w:r w:rsidR="003B617A" w:rsidRPr="00273004">
        <w:rPr>
          <w:highlight w:val="yellow"/>
        </w:rPr>
        <w:t>12</w:t>
      </w:r>
      <w:r w:rsidR="00135710">
        <w:t>).</w:t>
      </w:r>
    </w:p>
    <w:p w14:paraId="3D6BA1A5" w14:textId="77777777" w:rsidR="00135710" w:rsidRDefault="00135710" w:rsidP="00077A08"/>
    <w:p w14:paraId="08E393F3" w14:textId="33339DC0"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w:t>
      </w:r>
      <w:r w:rsidR="00AD3658" w:rsidRPr="00273004">
        <w:rPr>
          <w:highlight w:val="yellow"/>
        </w:rPr>
        <w:t>Supplementary Table S</w:t>
      </w:r>
      <w:r w:rsidR="003B617A" w:rsidRPr="00273004">
        <w:rPr>
          <w:highlight w:val="yellow"/>
        </w:rPr>
        <w:t>13</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 xml:space="preserve">pectively, </w:t>
      </w:r>
      <w:r w:rsidR="00AD3658" w:rsidRPr="00273004">
        <w:rPr>
          <w:highlight w:val="yellow"/>
        </w:rPr>
        <w:t>Supplementary Table S</w:t>
      </w:r>
      <w:r w:rsidR="00762784" w:rsidRPr="00273004">
        <w:rPr>
          <w:highlight w:val="yellow"/>
        </w:rPr>
        <w:t>13</w:t>
      </w:r>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B63B84">
        <w:rPr>
          <w:color w:val="000000" w:themeColor="text1"/>
          <w:highlight w:val="yellow"/>
        </w:rPr>
        <w:t>(</w:t>
      </w:r>
      <w:r w:rsidR="008146CA" w:rsidRPr="00B63B84">
        <w:rPr>
          <w:i/>
          <w:color w:val="000000" w:themeColor="text1"/>
          <w:highlight w:val="yellow"/>
        </w:rPr>
        <w:t>z</w:t>
      </w:r>
      <w:r w:rsidR="00472806" w:rsidRPr="00B63B84">
        <w:rPr>
          <w:color w:val="000000" w:themeColor="text1"/>
          <w:highlight w:val="yellow"/>
        </w:rPr>
        <w:t xml:space="preserve"> </w:t>
      </w:r>
      <w:r w:rsidR="008146CA" w:rsidRPr="00B63B84">
        <w:rPr>
          <w:color w:val="000000" w:themeColor="text1"/>
          <w:highlight w:val="yellow"/>
        </w:rPr>
        <w:t>=</w:t>
      </w:r>
      <w:r w:rsidR="00472806" w:rsidRPr="00B63B84">
        <w:rPr>
          <w:color w:val="000000" w:themeColor="text1"/>
          <w:highlight w:val="yellow"/>
        </w:rPr>
        <w:t xml:space="preserve"> </w:t>
      </w:r>
      <w:r w:rsidR="007229C2" w:rsidRPr="00B63B84">
        <w:rPr>
          <w:color w:val="000000" w:themeColor="text1"/>
          <w:highlight w:val="yellow"/>
        </w:rPr>
        <w:t>−</w:t>
      </w:r>
      <w:r w:rsidR="007D66DF" w:rsidRPr="00B63B84">
        <w:rPr>
          <w:color w:val="000000" w:themeColor="text1"/>
          <w:highlight w:val="yellow"/>
        </w:rPr>
        <w:t>30.98</w:t>
      </w:r>
      <w:r w:rsidR="008146CA" w:rsidRPr="00B63B84">
        <w:rPr>
          <w:color w:val="000000" w:themeColor="text1"/>
          <w:highlight w:val="yellow"/>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EB10EC">
        <w:rPr>
          <w:i/>
          <w:color w:val="000000" w:themeColor="text1"/>
          <w:highlight w:val="yellow"/>
        </w:rPr>
        <w:t>z</w:t>
      </w:r>
      <w:r w:rsidR="007D66DF" w:rsidRPr="00EB10EC">
        <w:rPr>
          <w:color w:val="000000" w:themeColor="text1"/>
          <w:highlight w:val="yellow"/>
        </w:rPr>
        <w:t xml:space="preserve"> = −1.27</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8146CA" w:rsidRPr="00B63B84">
        <w:rPr>
          <w:color w:val="000000" w:themeColor="text1"/>
          <w:highlight w:val="yellow"/>
        </w:rPr>
        <w:t>(</w:t>
      </w:r>
      <w:r w:rsidR="004C204F" w:rsidRPr="00B63B84">
        <w:rPr>
          <w:i/>
          <w:color w:val="000000" w:themeColor="text1"/>
          <w:highlight w:val="yellow"/>
        </w:rPr>
        <w:t>z</w:t>
      </w:r>
      <w:r w:rsidR="00472806" w:rsidRPr="00B63B84">
        <w:rPr>
          <w:color w:val="000000" w:themeColor="text1"/>
          <w:highlight w:val="yellow"/>
        </w:rPr>
        <w:t xml:space="preserve"> </w:t>
      </w:r>
      <w:r w:rsidR="004C204F" w:rsidRPr="00B63B84">
        <w:rPr>
          <w:color w:val="000000" w:themeColor="text1"/>
          <w:highlight w:val="yellow"/>
        </w:rPr>
        <w:t>=</w:t>
      </w:r>
      <w:r w:rsidR="00472806" w:rsidRPr="00B63B84">
        <w:rPr>
          <w:color w:val="000000" w:themeColor="text1"/>
          <w:highlight w:val="yellow"/>
        </w:rPr>
        <w:t xml:space="preserve"> </w:t>
      </w:r>
      <w:r w:rsidR="007229C2" w:rsidRPr="00B63B84">
        <w:rPr>
          <w:color w:val="000000" w:themeColor="text1"/>
          <w:highlight w:val="yellow"/>
        </w:rPr>
        <w:t>−</w:t>
      </w:r>
      <w:r w:rsidR="007D66DF" w:rsidRPr="00B63B84">
        <w:rPr>
          <w:color w:val="000000" w:themeColor="text1"/>
          <w:highlight w:val="yellow"/>
        </w:rPr>
        <w:t>2.79</w:t>
      </w:r>
      <w:r w:rsidR="008146CA" w:rsidRPr="00B63B84">
        <w:rPr>
          <w:color w:val="000000" w:themeColor="text1"/>
          <w:highlight w:val="yellow"/>
        </w:rPr>
        <w:t>)</w:t>
      </w:r>
      <w:r w:rsidR="008D4D86" w:rsidRPr="00B63B84">
        <w:rPr>
          <w:color w:val="000000" w:themeColor="text1"/>
          <w:highlight w:val="yellow"/>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6FB0027E"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8D2570">
        <w:instrText xml:space="preserve"> ADDIN ZOTERO_ITEM CSL_CITATION {"citationID":"2es47d19po","properties":{"formattedCitation":"{\\rtf \\super 27\\nosupersub{}}","plainCitation":"27"},"citationItems":[{"id":565,"uris":["http://zotero.org/users/2021925/items/6QBWD895"],"uri":["http://zotero.org/users/2021925/items/6QBWD895"],"itemData":{"id":565,"type":"article-journal","title":"A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PMID":"26236466","PMCID":"PMC4516019"}}],"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 xml:space="preserve">We saw such effects in our study as well. In our data, the batch number indicates bacterial samples that were grown at the same time. Not unexpectedly, our data showed significant clustering by batch number, in protein data </w:t>
      </w:r>
      <w:r w:rsidR="00B63B84">
        <w:t xml:space="preserve">but </w:t>
      </w:r>
      <w:r w:rsidR="00B63B84" w:rsidRPr="00B63B84">
        <w:rPr>
          <w:highlight w:val="yellow"/>
        </w:rPr>
        <w:t>not in</w:t>
      </w:r>
      <w:r w:rsidR="0015350C" w:rsidRPr="00B63B84">
        <w:rPr>
          <w:highlight w:val="yellow"/>
        </w:rPr>
        <w:t xml:space="preserve"> mRNA data (</w:t>
      </w:r>
      <w:r w:rsidR="0015350C" w:rsidRPr="00B63B84">
        <w:rPr>
          <w:i/>
          <w:highlight w:val="yellow"/>
        </w:rPr>
        <w:t>z</w:t>
      </w:r>
      <w:r w:rsidR="0015350C" w:rsidRPr="00B63B84">
        <w:rPr>
          <w:highlight w:val="yellow"/>
        </w:rPr>
        <w:t xml:space="preserve"> scores of −</w:t>
      </w:r>
      <w:r w:rsidR="00B63B84" w:rsidRPr="00B63B84">
        <w:rPr>
          <w:highlight w:val="yellow"/>
        </w:rPr>
        <w:t>20.54 and −1.43</w:t>
      </w:r>
      <w:r w:rsidR="0015350C" w:rsidRPr="00B63B84">
        <w:rPr>
          <w:highlight w:val="yellow"/>
        </w:rPr>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DF5027">
        <w:rPr>
          <w:highlight w:val="yellow"/>
        </w:rPr>
        <w:t xml:space="preserve">by DeSeq2 </w:t>
      </w:r>
      <w:r w:rsidR="00D9093F" w:rsidRPr="00DF5027">
        <w:rPr>
          <w:highlight w:val="yellow"/>
        </w:rPr>
        <w:t>manual</w:t>
      </w:r>
      <w:r w:rsidR="00D9093F" w:rsidRPr="00DF5027">
        <w:rPr>
          <w:highlight w:val="yellow"/>
        </w:rPr>
        <w:fldChar w:fldCharType="begin"/>
      </w:r>
      <w:r w:rsidR="00D9093F" w:rsidRPr="00DF5027">
        <w:rPr>
          <w:highlight w:val="yellow"/>
        </w:rPr>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DF5027">
        <w:rPr>
          <w:highlight w:val="yellow"/>
        </w:rPr>
        <w:fldChar w:fldCharType="separate"/>
      </w:r>
      <w:r w:rsidR="00D9093F" w:rsidRPr="00DF5027">
        <w:rPr>
          <w:rFonts w:ascii="Calibri" w:eastAsia="Times New Roman" w:cs="Times New Roman"/>
          <w:highlight w:val="yellow"/>
          <w:vertAlign w:val="superscript"/>
        </w:rPr>
        <w:t>28</w:t>
      </w:r>
      <w:r w:rsidR="00D9093F" w:rsidRPr="00DF5027">
        <w:rPr>
          <w:highlight w:val="yellow"/>
        </w:rPr>
        <w:fldChar w:fldCharType="end"/>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D9093F">
        <w:instrText xml:space="preserve"> ADDIN ZOTERO_ITEM CSL_CITATION {"citationID":"cjum49ngs","properties":{"formattedCitation":"{\\rtf \\super 29\\uc0\\u8211{}32\\nosupersub{}}","plainCitation":"29–32"},"citationItems":[{"id":571,"uris":["http://zotero.org/users/2021925/items/MTHMFFVD"],"uri":["http://zotero.org/users/2021925/items/MTHMFFVD"],"itemData":{"id":571,"type":"article-journal","title":"Removing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PMID":"21386892","PMCID":"PMC3046121"}},{"id":575,"uris":["http://zotero.org/users/2021925/items/QAZAD7JH"],"uri":["http://zotero.org/users/2021925/items/QAZAD7JH"],"itemData":{"id":575,"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PMID":"22851511"}},{"id":569,"uris":["http://zotero.org/users/2021925/items/I8R4E5GR"],"uri":["http://zotero.org/users/2021925/items/I8R4E5GR"],"itemData":{"id":569,"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PMID":"16632515"}},{"id":573,"uris":["http://zotero.org/users/2021925/items/M7652ASF"],"uri":["http://zotero.org/users/2021925/items/M7652ASF"],"itemData":{"id":573,"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PMID":"20676067","PMCID":"PMC2920074"}}],"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9E12B3" w:rsidRPr="00D9741C">
        <w:t>.</w:t>
      </w:r>
    </w:p>
    <w:p w14:paraId="0B4ADE69" w14:textId="77777777" w:rsidR="008217C8" w:rsidRDefault="008217C8" w:rsidP="00C90590">
      <w:pPr>
        <w:tabs>
          <w:tab w:val="left" w:pos="3637"/>
        </w:tabs>
      </w:pPr>
    </w:p>
    <w:p w14:paraId="437015A6" w14:textId="0D7D2480"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D9093F">
        <w:instrText xml:space="preserve"> ADDIN ZOTERO_ITEM CSL_CITATION {"citationID":"i2tpc5nbn","properties":{"formattedCitation":"{\\rtf \\super 10,33,34\\nosupersub{}}","plainCitation":"10,33,34"},"citationItems":[{"id":258,"uris":["http://zotero.org/users/local/FOPKHRFW/items/MV3KWPUV"],"uri":["http://zotero.org/users/local/FOPKHRFW/items/MV3KWPUV"],"itemData":{"id":258,"type":"article-journal","title":"Controlled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D9093F" w:rsidRPr="00D9093F">
        <w:rPr>
          <w:rFonts w:ascii="Calibri" w:eastAsia="Times New Roman" w:cs="Times New Roman"/>
          <w:vertAlign w:val="superscript"/>
        </w:rPr>
        <w:t>10,33,34</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760AEC24"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0A13DB">
        <w:t xml:space="preserve">which might be related with batch effects which </w:t>
      </w:r>
      <w:r w:rsidR="000A13DB" w:rsidRPr="00C6196F">
        <w:rPr>
          <w:highlight w:val="yellow"/>
        </w:rPr>
        <w:t xml:space="preserve">may represent fluctuations in incubator temperatures, slight differences in growth medium composition or water quality, or effects of reviving the initial inoculum of cells, </w:t>
      </w:r>
      <w:r w:rsidR="000A13DB" w:rsidRPr="000A13DB">
        <w:rPr>
          <w:highlight w:val="yellow"/>
        </w:rPr>
        <w:t>or might me related to randomness associated with internal mechanisms of the cells</w:t>
      </w:r>
      <w:r w:rsidR="00FF45AE">
        <w:rPr>
          <w:highlight w:val="yellow"/>
        </w:rPr>
        <w:t xml:space="preserve"> </w:t>
      </w:r>
      <w:r w:rsidR="00FF45AE">
        <w:rPr>
          <w:highlight w:val="yellow"/>
        </w:rPr>
        <w:fldChar w:fldCharType="begin"/>
      </w:r>
      <w:r w:rsidR="00D9093F">
        <w:rPr>
          <w:highlight w:val="yellow"/>
        </w:rPr>
        <w:instrText xml:space="preserve"> ADDIN ZOTERO_ITEM CSL_CITATION {"citationID":"1j2oln534r","properties":{"formattedCitation":"{\\rtf \\super 35\\nosupersub{}}","plainCitation":"35"},"citationItems":[{"id":304,"uris":["http://zotero.org/users/local/FOPKHRFW/items/UVIJACJE"],"uri":["http://zotero.org/users/local/FOPKHRFW/items/UVIJACJE"],"itemData":{"id":304,"type":"article-journal","title":"Stochastic gene expression and its consequences","container-title":"Cell","page":"216-226","volume":"135","issue":"2","source":"PubMed Central","abstract":"Gene expression is a fundamentally stochastic process, with randomness in transcription and translation leading to significant cell-to-cell variations in mRNA and protein levels. This variation appears in organisms ranging from microbes to metazoans and its characteristics depend both on the biophysical parameters governing gene expression and on gene network structure. Stochastic gene expression can have important consequences for cellular function, being beneficial in some contexts and harmful in others. These situations include stress response, pathogenesis, metabolism, development, cell cycle, circadian rhythms and aging.","DOI":"10.1016/j.cell.2008.09.050","ISSN":"0092-8674","note":"PMID: 18957198\nPMCID: PMC3118044","journalAbbreviation":"Cell","author":[{"family":"Raj","given":"Arjun"},{"family":"Oudenaarden","given":"Alexander","non-dropping-particle":"van"}],"issued":{"date-parts":[["2008",10,17]]}}}],"schema":"https://github.com/citation-style-language/schema/raw/master/csl-citation.json"} </w:instrText>
      </w:r>
      <w:r w:rsidR="00FF45AE">
        <w:rPr>
          <w:highlight w:val="yellow"/>
        </w:rPr>
        <w:fldChar w:fldCharType="separate"/>
      </w:r>
      <w:r w:rsidR="00D9093F" w:rsidRPr="00D9093F">
        <w:rPr>
          <w:rFonts w:ascii="Calibri" w:eastAsia="Times New Roman" w:cs="Times New Roman"/>
          <w:vertAlign w:val="superscript"/>
        </w:rPr>
        <w:t>35</w:t>
      </w:r>
      <w:r w:rsidR="00FF45AE">
        <w:rPr>
          <w:highlight w:val="yellow"/>
        </w:rPr>
        <w:fldChar w:fldCharType="end"/>
      </w:r>
      <w:r w:rsidR="000A13DB" w:rsidRPr="000A13DB">
        <w:rPr>
          <w:highlight w:val="yellow"/>
        </w:rPr>
        <w:t>,</w:t>
      </w:r>
      <w:r w:rsidR="000A13DB">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13E0B081"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35254163"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D9093F">
        <w:instrText xml:space="preserve"> ADDIN ZOTERO_ITEM CSL_CITATION {"citationID":"m6lpoahjo","properties":{"formattedCitation":"{\\rtf \\super 36\\nosupersub{}}","plainCitation":"36"},"citationItems":[{"id":290,"uris":["http://zotero.org/users/local/FOPKHRFW/items/MP7IKCPR"],"uri":["http://zotero.org/users/local/FOPKHRFW/items/MP7IKCPR"],"itemData":{"id":290,"type":"article-journal","title":"Fast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D9093F" w:rsidRPr="00D9093F">
        <w:rPr>
          <w:rFonts w:ascii="Calibri" w:eastAsia="Times New Roman" w:cs="Times New Roman"/>
          <w:vertAlign w:val="superscript"/>
        </w:rPr>
        <w:t>36</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D9093F">
        <w:instrText xml:space="preserve"> ADDIN ZOTERO_ITEM CSL_CITATION {"citationID":"e18bd0172","properties":{"formattedCitation":"{\\rtf \\super 37\\nosupersub{}}","plainCitation":"37"},"citationItems":[{"id":285,"uris":["http://zotero.org/users/local/FOPKHRFW/items/VEADB9MK"],"uri":["http://zotero.org/users/local/FOPKHRFW/items/VEADB9MK"],"itemData":{"id":285,"type":"article-journal","title":"An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D9093F" w:rsidRPr="00D9093F">
        <w:rPr>
          <w:rFonts w:ascii="Calibri" w:eastAsia="Times New Roman" w:cs="Times New Roman"/>
          <w:vertAlign w:val="superscript"/>
        </w:rPr>
        <w:t>37</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43657C8B"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1D5D6E39" w:rsidR="00B1332D" w:rsidRDefault="005346B9" w:rsidP="00315216">
      <w:pPr>
        <w:rPr>
          <w:highlight w:val="yellow"/>
        </w:rPr>
      </w:pPr>
      <w:r>
        <w:t xml:space="preserve">All statistical analyses were performed in R. The relevant R scripts and processed data are available on github: </w:t>
      </w:r>
      <w:hyperlink r:id="rId12" w:history="1">
        <w:r w:rsidR="00B1332D" w:rsidRPr="003B22C5">
          <w:rPr>
            <w:rStyle w:val="Hyperlink"/>
          </w:rPr>
          <w:t>https://github.com/umutcaglar/ecoli_multiple_growth_conditions</w:t>
        </w:r>
      </w:hyperlink>
    </w:p>
    <w:p w14:paraId="2B0FCDA7" w14:textId="6356079E" w:rsidR="001D240C" w:rsidRDefault="005346B9" w:rsidP="001D240C">
      <w:r w:rsidRPr="00B1332D">
        <w:rPr>
          <w:color w:val="FF0000"/>
        </w:rPr>
        <w:t xml:space="preserve">Raw RNA reads and peptide spectra are </w:t>
      </w:r>
      <w:r w:rsidR="00B1332D" w:rsidRPr="00B1332D">
        <w:rPr>
          <w:color w:val="FF0000"/>
        </w:rPr>
        <w:t>being submitted to the appropriate repositories.</w:t>
      </w:r>
    </w:p>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52A304FB" w14:textId="77777777" w:rsidR="00204686" w:rsidRPr="00204686" w:rsidRDefault="00FD014C" w:rsidP="00204686">
      <w:pPr>
        <w:pStyle w:val="Bibliography"/>
        <w:rPr>
          <w:rFonts w:ascii="Calibri"/>
        </w:rPr>
      </w:pPr>
      <w:r>
        <w:fldChar w:fldCharType="begin"/>
      </w:r>
      <w:r w:rsidR="00D9093F">
        <w:instrText xml:space="preserve"> ADDIN ZOTERO_BIBL {"custom":[]} CSL_BIBLIOGRAPHY </w:instrText>
      </w:r>
      <w:r>
        <w:fldChar w:fldCharType="separate"/>
      </w:r>
      <w:r w:rsidR="00204686" w:rsidRPr="00204686">
        <w:rPr>
          <w:rFonts w:ascii="Calibri"/>
        </w:rPr>
        <w:t>1.</w:t>
      </w:r>
      <w:r w:rsidR="00204686" w:rsidRPr="00204686">
        <w:rPr>
          <w:rFonts w:ascii="Calibri"/>
        </w:rPr>
        <w:tab/>
        <w:t xml:space="preserve">Botstein, D. &amp; Risch, N. Discovering genotypes underlying human phenotypes: past successes for mendelian disease, future approaches for complex disease. </w:t>
      </w:r>
      <w:r w:rsidR="00204686" w:rsidRPr="00204686">
        <w:rPr>
          <w:rFonts w:ascii="Calibri"/>
          <w:i/>
          <w:iCs/>
        </w:rPr>
        <w:t>Nat. Genet.</w:t>
      </w:r>
      <w:r w:rsidR="00204686" w:rsidRPr="00204686">
        <w:rPr>
          <w:rFonts w:ascii="Calibri"/>
        </w:rPr>
        <w:t xml:space="preserve"> </w:t>
      </w:r>
      <w:r w:rsidR="00204686" w:rsidRPr="00204686">
        <w:rPr>
          <w:rFonts w:ascii="Calibri"/>
          <w:b/>
          <w:bCs/>
        </w:rPr>
        <w:t>33,</w:t>
      </w:r>
      <w:r w:rsidR="00204686" w:rsidRPr="00204686">
        <w:rPr>
          <w:rFonts w:ascii="Calibri"/>
        </w:rPr>
        <w:t xml:space="preserve"> 228–237 (2003).</w:t>
      </w:r>
    </w:p>
    <w:p w14:paraId="5302FA4F" w14:textId="77777777" w:rsidR="00204686" w:rsidRPr="00204686" w:rsidRDefault="00204686" w:rsidP="00204686">
      <w:pPr>
        <w:pStyle w:val="Bibliography"/>
        <w:rPr>
          <w:rFonts w:ascii="Calibri"/>
        </w:rPr>
      </w:pPr>
      <w:r w:rsidRPr="00204686">
        <w:rPr>
          <w:rFonts w:ascii="Calibri"/>
        </w:rPr>
        <w:t>2.</w:t>
      </w:r>
      <w:r w:rsidRPr="00204686">
        <w:rPr>
          <w:rFonts w:ascii="Calibri"/>
        </w:rPr>
        <w:tab/>
        <w:t xml:space="preserve">Zhang, W., Li, F. &amp; Nie, L. Integrating multiple ‘omics’ analysis for microbial biology: application and methodologies. </w:t>
      </w:r>
      <w:r w:rsidRPr="00204686">
        <w:rPr>
          <w:rFonts w:ascii="Calibri"/>
          <w:i/>
          <w:iCs/>
        </w:rPr>
        <w:t>Microbiol. Read. Engl.</w:t>
      </w:r>
      <w:r w:rsidRPr="00204686">
        <w:rPr>
          <w:rFonts w:ascii="Calibri"/>
        </w:rPr>
        <w:t xml:space="preserve"> </w:t>
      </w:r>
      <w:r w:rsidRPr="00204686">
        <w:rPr>
          <w:rFonts w:ascii="Calibri"/>
          <w:b/>
          <w:bCs/>
        </w:rPr>
        <w:t>156,</w:t>
      </w:r>
      <w:r w:rsidRPr="00204686">
        <w:rPr>
          <w:rFonts w:ascii="Calibri"/>
        </w:rPr>
        <w:t xml:space="preserve"> 287–301 (2010).</w:t>
      </w:r>
    </w:p>
    <w:p w14:paraId="34497C78" w14:textId="77777777" w:rsidR="00204686" w:rsidRPr="00204686" w:rsidRDefault="00204686" w:rsidP="00204686">
      <w:pPr>
        <w:pStyle w:val="Bibliography"/>
        <w:rPr>
          <w:rFonts w:ascii="Calibri"/>
        </w:rPr>
      </w:pPr>
      <w:r w:rsidRPr="00204686">
        <w:rPr>
          <w:rFonts w:ascii="Calibri"/>
        </w:rPr>
        <w:t>3.</w:t>
      </w:r>
      <w:r w:rsidRPr="00204686">
        <w:rPr>
          <w:rFonts w:ascii="Calibri"/>
        </w:rPr>
        <w:tab/>
        <w:t xml:space="preserve">Joyce, A. R. &amp; Palsson, B. Ø. The model organism as a system: integrating ‘omics’ data sets. </w:t>
      </w:r>
      <w:r w:rsidRPr="00204686">
        <w:rPr>
          <w:rFonts w:ascii="Calibri"/>
          <w:i/>
          <w:iCs/>
        </w:rPr>
        <w:t>Nat. Rev. Mol. Cell Biol.</w:t>
      </w:r>
      <w:r w:rsidRPr="00204686">
        <w:rPr>
          <w:rFonts w:ascii="Calibri"/>
        </w:rPr>
        <w:t xml:space="preserve"> </w:t>
      </w:r>
      <w:r w:rsidRPr="00204686">
        <w:rPr>
          <w:rFonts w:ascii="Calibri"/>
          <w:b/>
          <w:bCs/>
        </w:rPr>
        <w:t>7,</w:t>
      </w:r>
      <w:r w:rsidRPr="00204686">
        <w:rPr>
          <w:rFonts w:ascii="Calibri"/>
        </w:rPr>
        <w:t xml:space="preserve"> 198–210 (2006).</w:t>
      </w:r>
    </w:p>
    <w:p w14:paraId="0238E449" w14:textId="77777777" w:rsidR="00204686" w:rsidRPr="00204686" w:rsidRDefault="00204686" w:rsidP="00204686">
      <w:pPr>
        <w:pStyle w:val="Bibliography"/>
        <w:rPr>
          <w:rFonts w:ascii="Calibri"/>
        </w:rPr>
      </w:pPr>
      <w:r w:rsidRPr="00204686">
        <w:rPr>
          <w:rFonts w:ascii="Calibri"/>
        </w:rPr>
        <w:t>4.</w:t>
      </w:r>
      <w:r w:rsidRPr="00204686">
        <w:rPr>
          <w:rFonts w:ascii="Calibri"/>
        </w:rPr>
        <w:tab/>
        <w:t xml:space="preserve">Ideker, T. </w:t>
      </w:r>
      <w:r w:rsidRPr="00204686">
        <w:rPr>
          <w:rFonts w:ascii="Calibri"/>
          <w:i/>
          <w:iCs/>
        </w:rPr>
        <w:t>et al.</w:t>
      </w:r>
      <w:r w:rsidRPr="00204686">
        <w:rPr>
          <w:rFonts w:ascii="Calibri"/>
        </w:rPr>
        <w:t xml:space="preserve"> Integrated Genomic and Proteomic Analyses of a Systematically Perturbed Metabolic Network. </w:t>
      </w:r>
      <w:r w:rsidRPr="00204686">
        <w:rPr>
          <w:rFonts w:ascii="Calibri"/>
          <w:i/>
          <w:iCs/>
        </w:rPr>
        <w:t>Science</w:t>
      </w:r>
      <w:r w:rsidRPr="00204686">
        <w:rPr>
          <w:rFonts w:ascii="Calibri"/>
        </w:rPr>
        <w:t xml:space="preserve"> </w:t>
      </w:r>
      <w:r w:rsidRPr="00204686">
        <w:rPr>
          <w:rFonts w:ascii="Calibri"/>
          <w:b/>
          <w:bCs/>
        </w:rPr>
        <w:t>292,</w:t>
      </w:r>
      <w:r w:rsidRPr="00204686">
        <w:rPr>
          <w:rFonts w:ascii="Calibri"/>
        </w:rPr>
        <w:t xml:space="preserve"> 929–934 (2001).</w:t>
      </w:r>
    </w:p>
    <w:p w14:paraId="5B9A6C15" w14:textId="77777777" w:rsidR="00204686" w:rsidRPr="00204686" w:rsidRDefault="00204686" w:rsidP="00204686">
      <w:pPr>
        <w:pStyle w:val="Bibliography"/>
        <w:rPr>
          <w:rFonts w:ascii="Calibri"/>
        </w:rPr>
      </w:pPr>
      <w:r w:rsidRPr="00204686">
        <w:rPr>
          <w:rFonts w:ascii="Calibri"/>
        </w:rPr>
        <w:t>5.</w:t>
      </w:r>
      <w:r w:rsidRPr="00204686">
        <w:rPr>
          <w:rFonts w:ascii="Calibri"/>
        </w:rPr>
        <w:tab/>
        <w:t xml:space="preserve">Vogel, C. &amp; Marcotte, E. M. Insights into the regulation of protein abundance from proteomic and transcriptomic analyses. </w:t>
      </w:r>
      <w:r w:rsidRPr="00204686">
        <w:rPr>
          <w:rFonts w:ascii="Calibri"/>
          <w:i/>
          <w:iCs/>
        </w:rPr>
        <w:t>Nat. Rev. Genet.</w:t>
      </w:r>
      <w:r w:rsidRPr="00204686">
        <w:rPr>
          <w:rFonts w:ascii="Calibri"/>
        </w:rPr>
        <w:t xml:space="preserve"> </w:t>
      </w:r>
      <w:r w:rsidRPr="00204686">
        <w:rPr>
          <w:rFonts w:ascii="Calibri"/>
          <w:b/>
          <w:bCs/>
        </w:rPr>
        <w:t>13,</w:t>
      </w:r>
      <w:r w:rsidRPr="00204686">
        <w:rPr>
          <w:rFonts w:ascii="Calibri"/>
        </w:rPr>
        <w:t xml:space="preserve"> 227–232 (2012).</w:t>
      </w:r>
    </w:p>
    <w:p w14:paraId="4E3137E0" w14:textId="77777777" w:rsidR="00204686" w:rsidRPr="00204686" w:rsidRDefault="00204686" w:rsidP="00204686">
      <w:pPr>
        <w:pStyle w:val="Bibliography"/>
        <w:rPr>
          <w:rFonts w:ascii="Calibri"/>
        </w:rPr>
      </w:pPr>
      <w:r w:rsidRPr="00204686">
        <w:rPr>
          <w:rFonts w:ascii="Calibri"/>
        </w:rPr>
        <w:t>6.</w:t>
      </w:r>
      <w:r w:rsidRPr="00204686">
        <w:rPr>
          <w:rFonts w:ascii="Calibri"/>
        </w:rPr>
        <w:tab/>
        <w:t xml:space="preserve">Lee, S. Y. High cell-density culture of Escherichia coli. </w:t>
      </w:r>
      <w:r w:rsidRPr="00204686">
        <w:rPr>
          <w:rFonts w:ascii="Calibri"/>
          <w:i/>
          <w:iCs/>
        </w:rPr>
        <w:t>Trends Biotechnol.</w:t>
      </w:r>
      <w:r w:rsidRPr="00204686">
        <w:rPr>
          <w:rFonts w:ascii="Calibri"/>
        </w:rPr>
        <w:t xml:space="preserve"> </w:t>
      </w:r>
      <w:r w:rsidRPr="00204686">
        <w:rPr>
          <w:rFonts w:ascii="Calibri"/>
          <w:b/>
          <w:bCs/>
        </w:rPr>
        <w:t>14,</w:t>
      </w:r>
      <w:r w:rsidRPr="00204686">
        <w:rPr>
          <w:rFonts w:ascii="Calibri"/>
        </w:rPr>
        <w:t xml:space="preserve"> 98–105 (1996).</w:t>
      </w:r>
    </w:p>
    <w:p w14:paraId="5139597A" w14:textId="77777777" w:rsidR="00204686" w:rsidRPr="00204686" w:rsidRDefault="00204686" w:rsidP="00204686">
      <w:pPr>
        <w:pStyle w:val="Bibliography"/>
        <w:rPr>
          <w:rFonts w:ascii="Calibri"/>
        </w:rPr>
      </w:pPr>
      <w:r w:rsidRPr="00204686">
        <w:rPr>
          <w:rFonts w:ascii="Calibri"/>
        </w:rPr>
        <w:t>7.</w:t>
      </w:r>
      <w:r w:rsidRPr="00204686">
        <w:rPr>
          <w:rFonts w:ascii="Calibri"/>
        </w:rPr>
        <w:tab/>
        <w:t xml:space="preserve">Blattner, F. R. </w:t>
      </w:r>
      <w:r w:rsidRPr="00204686">
        <w:rPr>
          <w:rFonts w:ascii="Calibri"/>
          <w:i/>
          <w:iCs/>
        </w:rPr>
        <w:t>et al.</w:t>
      </w:r>
      <w:r w:rsidRPr="00204686">
        <w:rPr>
          <w:rFonts w:ascii="Calibri"/>
        </w:rPr>
        <w:t xml:space="preserve"> The Complete Genome Sequence of Escherichia coli K-12. </w:t>
      </w:r>
      <w:r w:rsidRPr="00204686">
        <w:rPr>
          <w:rFonts w:ascii="Calibri"/>
          <w:i/>
          <w:iCs/>
        </w:rPr>
        <w:t>Science</w:t>
      </w:r>
      <w:r w:rsidRPr="00204686">
        <w:rPr>
          <w:rFonts w:ascii="Calibri"/>
        </w:rPr>
        <w:t xml:space="preserve"> </w:t>
      </w:r>
      <w:r w:rsidRPr="00204686">
        <w:rPr>
          <w:rFonts w:ascii="Calibri"/>
          <w:b/>
          <w:bCs/>
        </w:rPr>
        <w:t>277,</w:t>
      </w:r>
      <w:r w:rsidRPr="00204686">
        <w:rPr>
          <w:rFonts w:ascii="Calibri"/>
        </w:rPr>
        <w:t xml:space="preserve"> 1453–1462 (1997).</w:t>
      </w:r>
    </w:p>
    <w:p w14:paraId="202A73A4" w14:textId="77777777" w:rsidR="00204686" w:rsidRPr="00204686" w:rsidRDefault="00204686" w:rsidP="00204686">
      <w:pPr>
        <w:pStyle w:val="Bibliography"/>
        <w:rPr>
          <w:rFonts w:ascii="Calibri"/>
        </w:rPr>
      </w:pPr>
      <w:r w:rsidRPr="00204686">
        <w:rPr>
          <w:rFonts w:ascii="Calibri"/>
        </w:rPr>
        <w:t>8.</w:t>
      </w:r>
      <w:r w:rsidRPr="00204686">
        <w:rPr>
          <w:rFonts w:ascii="Calibri"/>
        </w:rPr>
        <w:tab/>
        <w:t xml:space="preserve">Yoon, S. H., Han, M.-J., Lee, S. Y., Jeong, K. J. &amp; Yoo, J.-S. Combined transcriptome and proteome analysis of Escherichia coli during high cell density culture. </w:t>
      </w:r>
      <w:r w:rsidRPr="00204686">
        <w:rPr>
          <w:rFonts w:ascii="Calibri"/>
          <w:i/>
          <w:iCs/>
        </w:rPr>
        <w:t>Biotechnol. Bioeng.</w:t>
      </w:r>
      <w:r w:rsidRPr="00204686">
        <w:rPr>
          <w:rFonts w:ascii="Calibri"/>
        </w:rPr>
        <w:t xml:space="preserve"> </w:t>
      </w:r>
      <w:r w:rsidRPr="00204686">
        <w:rPr>
          <w:rFonts w:ascii="Calibri"/>
          <w:b/>
          <w:bCs/>
        </w:rPr>
        <w:t>81,</w:t>
      </w:r>
      <w:r w:rsidRPr="00204686">
        <w:rPr>
          <w:rFonts w:ascii="Calibri"/>
        </w:rPr>
        <w:t xml:space="preserve"> 753–767 (2003).</w:t>
      </w:r>
    </w:p>
    <w:p w14:paraId="17A317A6" w14:textId="77777777" w:rsidR="00204686" w:rsidRPr="00204686" w:rsidRDefault="00204686" w:rsidP="00204686">
      <w:pPr>
        <w:pStyle w:val="Bibliography"/>
        <w:rPr>
          <w:rFonts w:ascii="Calibri"/>
        </w:rPr>
      </w:pPr>
      <w:r w:rsidRPr="00204686">
        <w:rPr>
          <w:rFonts w:ascii="Calibri"/>
        </w:rPr>
        <w:t>9.</w:t>
      </w:r>
      <w:r w:rsidRPr="00204686">
        <w:rPr>
          <w:rFonts w:ascii="Calibri"/>
        </w:rPr>
        <w:tab/>
        <w:t xml:space="preserve">Gadgil, M., Kapur, V. &amp; Hu, W.-S. Transcriptional response of Escherichia coli to temperature shift. </w:t>
      </w:r>
      <w:r w:rsidRPr="00204686">
        <w:rPr>
          <w:rFonts w:ascii="Calibri"/>
          <w:i/>
          <w:iCs/>
        </w:rPr>
        <w:t>Biotechnol. Prog.</w:t>
      </w:r>
      <w:r w:rsidRPr="00204686">
        <w:rPr>
          <w:rFonts w:ascii="Calibri"/>
        </w:rPr>
        <w:t xml:space="preserve"> </w:t>
      </w:r>
      <w:r w:rsidRPr="00204686">
        <w:rPr>
          <w:rFonts w:ascii="Calibri"/>
          <w:b/>
          <w:bCs/>
        </w:rPr>
        <w:t>21,</w:t>
      </w:r>
      <w:r w:rsidRPr="00204686">
        <w:rPr>
          <w:rFonts w:ascii="Calibri"/>
        </w:rPr>
        <w:t xml:space="preserve"> 689–699 (2005).</w:t>
      </w:r>
    </w:p>
    <w:p w14:paraId="66CEF034" w14:textId="77777777" w:rsidR="00204686" w:rsidRPr="00204686" w:rsidRDefault="00204686" w:rsidP="00204686">
      <w:pPr>
        <w:pStyle w:val="Bibliography"/>
        <w:rPr>
          <w:rFonts w:ascii="Calibri"/>
        </w:rPr>
      </w:pPr>
      <w:r w:rsidRPr="00204686">
        <w:rPr>
          <w:rFonts w:ascii="Calibri"/>
        </w:rPr>
        <w:t>10.</w:t>
      </w:r>
      <w:r w:rsidRPr="00204686">
        <w:rPr>
          <w:rFonts w:ascii="Calibri"/>
        </w:rPr>
        <w:tab/>
        <w:t xml:space="preserve">Houser, J. R. </w:t>
      </w:r>
      <w:r w:rsidRPr="00204686">
        <w:rPr>
          <w:rFonts w:ascii="Calibri"/>
          <w:i/>
          <w:iCs/>
        </w:rPr>
        <w:t>et al.</w:t>
      </w:r>
      <w:r w:rsidRPr="00204686">
        <w:rPr>
          <w:rFonts w:ascii="Calibri"/>
        </w:rPr>
        <w:t xml:space="preserve"> Controlled Measurement and Comparative Analysis of Cellular Components in E . coli Reveals Broad Regulatory Changes in Response to Glucose Starvation. </w:t>
      </w:r>
      <w:r w:rsidRPr="00204686">
        <w:rPr>
          <w:rFonts w:ascii="Calibri"/>
          <w:i/>
          <w:iCs/>
        </w:rPr>
        <w:t>PLOS Comput Biol</w:t>
      </w:r>
      <w:r w:rsidRPr="00204686">
        <w:rPr>
          <w:rFonts w:ascii="Calibri"/>
        </w:rPr>
        <w:t xml:space="preserve"> </w:t>
      </w:r>
      <w:r w:rsidRPr="00204686">
        <w:rPr>
          <w:rFonts w:ascii="Calibri"/>
          <w:b/>
          <w:bCs/>
        </w:rPr>
        <w:t>11,</w:t>
      </w:r>
      <w:r w:rsidRPr="00204686">
        <w:rPr>
          <w:rFonts w:ascii="Calibri"/>
        </w:rPr>
        <w:t xml:space="preserve"> e1004400 (2015).</w:t>
      </w:r>
    </w:p>
    <w:p w14:paraId="2BE1DDDF" w14:textId="77777777" w:rsidR="00204686" w:rsidRPr="00204686" w:rsidRDefault="00204686" w:rsidP="00204686">
      <w:pPr>
        <w:pStyle w:val="Bibliography"/>
        <w:rPr>
          <w:rFonts w:ascii="Calibri"/>
        </w:rPr>
      </w:pPr>
      <w:r w:rsidRPr="00204686">
        <w:rPr>
          <w:rFonts w:ascii="Calibri"/>
        </w:rPr>
        <w:t>11.</w:t>
      </w:r>
      <w:r w:rsidRPr="00204686">
        <w:rPr>
          <w:rFonts w:ascii="Calibri"/>
        </w:rPr>
        <w:tab/>
        <w:t xml:space="preserve">Soufi, B., Krug, K., Harst, A. &amp; Macek, B. Characterization of the E. coli proteome and its modifications during growth and ethanol stress. </w:t>
      </w:r>
      <w:r w:rsidRPr="00204686">
        <w:rPr>
          <w:rFonts w:ascii="Calibri"/>
          <w:i/>
          <w:iCs/>
        </w:rPr>
        <w:t>Front. Microbiol.</w:t>
      </w:r>
      <w:r w:rsidRPr="00204686">
        <w:rPr>
          <w:rFonts w:ascii="Calibri"/>
        </w:rPr>
        <w:t xml:space="preserve"> </w:t>
      </w:r>
      <w:r w:rsidRPr="00204686">
        <w:rPr>
          <w:rFonts w:ascii="Calibri"/>
          <w:b/>
          <w:bCs/>
        </w:rPr>
        <w:t>6,</w:t>
      </w:r>
      <w:r w:rsidRPr="00204686">
        <w:rPr>
          <w:rFonts w:ascii="Calibri"/>
        </w:rPr>
        <w:t xml:space="preserve"> 103 (2015).</w:t>
      </w:r>
    </w:p>
    <w:p w14:paraId="13098BD5" w14:textId="77777777" w:rsidR="00204686" w:rsidRPr="00204686" w:rsidRDefault="00204686" w:rsidP="00204686">
      <w:pPr>
        <w:pStyle w:val="Bibliography"/>
        <w:rPr>
          <w:rFonts w:ascii="Calibri"/>
        </w:rPr>
      </w:pPr>
      <w:r w:rsidRPr="00204686">
        <w:rPr>
          <w:rFonts w:ascii="Calibri"/>
        </w:rPr>
        <w:t>12.</w:t>
      </w:r>
      <w:r w:rsidRPr="00204686">
        <w:rPr>
          <w:rFonts w:ascii="Calibri"/>
        </w:rPr>
        <w:tab/>
        <w:t xml:space="preserve">Schmidt, A. </w:t>
      </w:r>
      <w:r w:rsidRPr="00204686">
        <w:rPr>
          <w:rFonts w:ascii="Calibri"/>
          <w:i/>
          <w:iCs/>
        </w:rPr>
        <w:t>et al.</w:t>
      </w:r>
      <w:r w:rsidRPr="00204686">
        <w:rPr>
          <w:rFonts w:ascii="Calibri"/>
        </w:rPr>
        <w:t xml:space="preserve"> The quantitative and condition-dependent Escherichia coli proteome. </w:t>
      </w:r>
      <w:r w:rsidRPr="00204686">
        <w:rPr>
          <w:rFonts w:ascii="Calibri"/>
          <w:i/>
          <w:iCs/>
        </w:rPr>
        <w:t>Nat. Biotechnol.</w:t>
      </w:r>
      <w:r w:rsidRPr="00204686">
        <w:rPr>
          <w:rFonts w:ascii="Calibri"/>
        </w:rPr>
        <w:t xml:space="preserve"> </w:t>
      </w:r>
      <w:r w:rsidRPr="00204686">
        <w:rPr>
          <w:rFonts w:ascii="Calibri"/>
          <w:b/>
          <w:bCs/>
        </w:rPr>
        <w:t>34,</w:t>
      </w:r>
      <w:r w:rsidRPr="00204686">
        <w:rPr>
          <w:rFonts w:ascii="Calibri"/>
        </w:rPr>
        <w:t xml:space="preserve"> 104–110 (2016).</w:t>
      </w:r>
    </w:p>
    <w:p w14:paraId="7046195B" w14:textId="77777777" w:rsidR="00204686" w:rsidRPr="00204686" w:rsidRDefault="00204686" w:rsidP="00204686">
      <w:pPr>
        <w:pStyle w:val="Bibliography"/>
        <w:rPr>
          <w:rFonts w:ascii="Calibri"/>
        </w:rPr>
      </w:pPr>
      <w:r w:rsidRPr="00204686">
        <w:rPr>
          <w:rFonts w:ascii="Calibri"/>
        </w:rPr>
        <w:t>13.</w:t>
      </w:r>
      <w:r w:rsidRPr="00204686">
        <w:rPr>
          <w:rFonts w:ascii="Calibri"/>
        </w:rPr>
        <w:tab/>
        <w:t xml:space="preserve">Lewis, N. E. </w:t>
      </w:r>
      <w:r w:rsidRPr="00204686">
        <w:rPr>
          <w:rFonts w:ascii="Calibri"/>
          <w:i/>
          <w:iCs/>
        </w:rPr>
        <w:t>et al.</w:t>
      </w:r>
      <w:r w:rsidRPr="00204686">
        <w:rPr>
          <w:rFonts w:ascii="Calibri"/>
        </w:rPr>
        <w:t xml:space="preserve"> Omic data from evolved E. coli are consistent with computed optimal growth from genome-scale models. </w:t>
      </w:r>
      <w:r w:rsidRPr="00204686">
        <w:rPr>
          <w:rFonts w:ascii="Calibri"/>
          <w:i/>
          <w:iCs/>
        </w:rPr>
        <w:t>Mol. Syst. Biol.</w:t>
      </w:r>
      <w:r w:rsidRPr="00204686">
        <w:rPr>
          <w:rFonts w:ascii="Calibri"/>
        </w:rPr>
        <w:t xml:space="preserve"> </w:t>
      </w:r>
      <w:r w:rsidRPr="00204686">
        <w:rPr>
          <w:rFonts w:ascii="Calibri"/>
          <w:b/>
          <w:bCs/>
        </w:rPr>
        <w:t>6,</w:t>
      </w:r>
      <w:r w:rsidRPr="00204686">
        <w:rPr>
          <w:rFonts w:ascii="Calibri"/>
        </w:rPr>
        <w:t xml:space="preserve"> 390 (2010).</w:t>
      </w:r>
    </w:p>
    <w:p w14:paraId="4C47B3FD" w14:textId="77777777" w:rsidR="00204686" w:rsidRPr="00204686" w:rsidRDefault="00204686" w:rsidP="00204686">
      <w:pPr>
        <w:pStyle w:val="Bibliography"/>
        <w:rPr>
          <w:rFonts w:ascii="Calibri"/>
        </w:rPr>
      </w:pPr>
      <w:r w:rsidRPr="00204686">
        <w:rPr>
          <w:rFonts w:ascii="Calibri"/>
        </w:rPr>
        <w:t>14.</w:t>
      </w:r>
      <w:r w:rsidRPr="00204686">
        <w:rPr>
          <w:rFonts w:ascii="Calibri"/>
        </w:rPr>
        <w:tab/>
        <w:t xml:space="preserve">Lewis, N. E., Cho, B.-K., Knight, E. M. &amp; Palsson, B. O. Gene Expression Profiling and the Use of Genome-Scale In Silico Models of Escherichia coli for Analysis: Providing Context for Content. </w:t>
      </w:r>
      <w:r w:rsidRPr="00204686">
        <w:rPr>
          <w:rFonts w:ascii="Calibri"/>
          <w:i/>
          <w:iCs/>
        </w:rPr>
        <w:t>J. Bacteriol.</w:t>
      </w:r>
      <w:r w:rsidRPr="00204686">
        <w:rPr>
          <w:rFonts w:ascii="Calibri"/>
        </w:rPr>
        <w:t xml:space="preserve"> </w:t>
      </w:r>
      <w:r w:rsidRPr="00204686">
        <w:rPr>
          <w:rFonts w:ascii="Calibri"/>
          <w:b/>
          <w:bCs/>
        </w:rPr>
        <w:t>191,</w:t>
      </w:r>
      <w:r w:rsidRPr="00204686">
        <w:rPr>
          <w:rFonts w:ascii="Calibri"/>
        </w:rPr>
        <w:t xml:space="preserve"> 3437–3444 (2009).</w:t>
      </w:r>
    </w:p>
    <w:p w14:paraId="75D0DB88" w14:textId="77777777" w:rsidR="00204686" w:rsidRPr="00204686" w:rsidRDefault="00204686" w:rsidP="00204686">
      <w:pPr>
        <w:pStyle w:val="Bibliography"/>
        <w:rPr>
          <w:rFonts w:ascii="Calibri"/>
        </w:rPr>
      </w:pPr>
      <w:r w:rsidRPr="00204686">
        <w:rPr>
          <w:rFonts w:ascii="Calibri"/>
        </w:rPr>
        <w:t>15.</w:t>
      </w:r>
      <w:r w:rsidRPr="00204686">
        <w:rPr>
          <w:rFonts w:ascii="Calibri"/>
        </w:rPr>
        <w:tab/>
        <w:t xml:space="preserve">Gan, G., Ma, C. &amp; Wu, J. </w:t>
      </w:r>
      <w:r w:rsidRPr="00204686">
        <w:rPr>
          <w:rFonts w:ascii="Calibri"/>
          <w:i/>
          <w:iCs/>
        </w:rPr>
        <w:t>Data Clustering: Theory, Algorithms, and Applications</w:t>
      </w:r>
      <w:r w:rsidRPr="00204686">
        <w:rPr>
          <w:rFonts w:ascii="Calibri"/>
        </w:rPr>
        <w:t>. (SIAM, 2007).</w:t>
      </w:r>
    </w:p>
    <w:p w14:paraId="6882DC73" w14:textId="77777777" w:rsidR="00204686" w:rsidRPr="00204686" w:rsidRDefault="00204686" w:rsidP="00204686">
      <w:pPr>
        <w:pStyle w:val="Bibliography"/>
        <w:rPr>
          <w:rFonts w:ascii="Calibri"/>
        </w:rPr>
      </w:pPr>
      <w:r w:rsidRPr="00204686">
        <w:rPr>
          <w:rFonts w:ascii="Calibri"/>
        </w:rPr>
        <w:t>16.</w:t>
      </w:r>
      <w:r w:rsidRPr="00204686">
        <w:rPr>
          <w:rFonts w:ascii="Calibri"/>
        </w:rPr>
        <w:tab/>
        <w:t xml:space="preserve">Sokal, R. R. &amp; Rohlf, F. J. The Comparison of Dendrograms by Objective Methods. </w:t>
      </w:r>
      <w:r w:rsidRPr="00204686">
        <w:rPr>
          <w:rFonts w:ascii="Calibri"/>
          <w:i/>
          <w:iCs/>
        </w:rPr>
        <w:t>Taxon</w:t>
      </w:r>
      <w:r w:rsidRPr="00204686">
        <w:rPr>
          <w:rFonts w:ascii="Calibri"/>
        </w:rPr>
        <w:t xml:space="preserve"> </w:t>
      </w:r>
      <w:r w:rsidRPr="00204686">
        <w:rPr>
          <w:rFonts w:ascii="Calibri"/>
          <w:b/>
          <w:bCs/>
        </w:rPr>
        <w:t>11,</w:t>
      </w:r>
      <w:r w:rsidRPr="00204686">
        <w:rPr>
          <w:rFonts w:ascii="Calibri"/>
        </w:rPr>
        <w:t xml:space="preserve"> 33–40 (1962).</w:t>
      </w:r>
    </w:p>
    <w:p w14:paraId="7F502547" w14:textId="77777777" w:rsidR="00204686" w:rsidRPr="00204686" w:rsidRDefault="00204686" w:rsidP="00204686">
      <w:pPr>
        <w:pStyle w:val="Bibliography"/>
        <w:rPr>
          <w:rFonts w:ascii="Calibri"/>
        </w:rPr>
      </w:pPr>
      <w:r w:rsidRPr="00204686">
        <w:rPr>
          <w:rFonts w:ascii="Calibri"/>
        </w:rPr>
        <w:t>17.</w:t>
      </w:r>
      <w:r w:rsidRPr="00204686">
        <w:rPr>
          <w:rFonts w:ascii="Calibri"/>
        </w:rPr>
        <w:tab/>
        <w:t xml:space="preserve">Love, M. I., Huber, W. &amp; Anders, S. Moderated estimation of fold change and dispersion for RNA-seq data with DESeq2. </w:t>
      </w:r>
      <w:r w:rsidRPr="00204686">
        <w:rPr>
          <w:rFonts w:ascii="Calibri"/>
          <w:i/>
          <w:iCs/>
        </w:rPr>
        <w:t>Genome Biol.</w:t>
      </w:r>
      <w:r w:rsidRPr="00204686">
        <w:rPr>
          <w:rFonts w:ascii="Calibri"/>
        </w:rPr>
        <w:t xml:space="preserve"> </w:t>
      </w:r>
      <w:r w:rsidRPr="00204686">
        <w:rPr>
          <w:rFonts w:ascii="Calibri"/>
          <w:b/>
          <w:bCs/>
        </w:rPr>
        <w:t>15,</w:t>
      </w:r>
      <w:r w:rsidRPr="00204686">
        <w:rPr>
          <w:rFonts w:ascii="Calibri"/>
        </w:rPr>
        <w:t xml:space="preserve"> 550 (2014).</w:t>
      </w:r>
    </w:p>
    <w:p w14:paraId="40B31E83" w14:textId="77777777" w:rsidR="00204686" w:rsidRPr="00204686" w:rsidRDefault="00204686" w:rsidP="00204686">
      <w:pPr>
        <w:pStyle w:val="Bibliography"/>
        <w:rPr>
          <w:rFonts w:ascii="Calibri"/>
        </w:rPr>
      </w:pPr>
      <w:r w:rsidRPr="00204686">
        <w:rPr>
          <w:rFonts w:ascii="Calibri"/>
        </w:rPr>
        <w:t>18.</w:t>
      </w:r>
      <w:r w:rsidRPr="00204686">
        <w:rPr>
          <w:rFonts w:ascii="Calibri"/>
        </w:rPr>
        <w:tab/>
        <w:t xml:space="preserve">Kanehisa, M. &amp; Goto, S. KEGG: Kyoto Encyclopedia of Genes and Genomes. </w:t>
      </w:r>
      <w:r w:rsidRPr="00204686">
        <w:rPr>
          <w:rFonts w:ascii="Calibri"/>
          <w:i/>
          <w:iCs/>
        </w:rPr>
        <w:t>Nucleic Acids Res.</w:t>
      </w:r>
      <w:r w:rsidRPr="00204686">
        <w:rPr>
          <w:rFonts w:ascii="Calibri"/>
        </w:rPr>
        <w:t xml:space="preserve"> </w:t>
      </w:r>
      <w:r w:rsidRPr="00204686">
        <w:rPr>
          <w:rFonts w:ascii="Calibri"/>
          <w:b/>
          <w:bCs/>
        </w:rPr>
        <w:t>28,</w:t>
      </w:r>
      <w:r w:rsidRPr="00204686">
        <w:rPr>
          <w:rFonts w:ascii="Calibri"/>
        </w:rPr>
        <w:t xml:space="preserve"> 27–30 (2000).</w:t>
      </w:r>
    </w:p>
    <w:p w14:paraId="32A65C09" w14:textId="77777777" w:rsidR="00204686" w:rsidRPr="00204686" w:rsidRDefault="00204686" w:rsidP="00204686">
      <w:pPr>
        <w:pStyle w:val="Bibliography"/>
        <w:rPr>
          <w:rFonts w:ascii="Calibri"/>
        </w:rPr>
      </w:pPr>
      <w:r w:rsidRPr="00204686">
        <w:rPr>
          <w:rFonts w:ascii="Calibri"/>
        </w:rPr>
        <w:t>19.</w:t>
      </w:r>
      <w:r w:rsidRPr="00204686">
        <w:rPr>
          <w:rFonts w:ascii="Calibri"/>
        </w:rPr>
        <w:tab/>
        <w:t xml:space="preserve">Ashburner, M. </w:t>
      </w:r>
      <w:r w:rsidRPr="00204686">
        <w:rPr>
          <w:rFonts w:ascii="Calibri"/>
          <w:i/>
          <w:iCs/>
        </w:rPr>
        <w:t>et al.</w:t>
      </w:r>
      <w:r w:rsidRPr="00204686">
        <w:rPr>
          <w:rFonts w:ascii="Calibri"/>
        </w:rPr>
        <w:t xml:space="preserve"> Gene Ontology: tool for the unification of biology. </w:t>
      </w:r>
      <w:r w:rsidRPr="00204686">
        <w:rPr>
          <w:rFonts w:ascii="Calibri"/>
          <w:i/>
          <w:iCs/>
        </w:rPr>
        <w:t>Nat. Genet.</w:t>
      </w:r>
      <w:r w:rsidRPr="00204686">
        <w:rPr>
          <w:rFonts w:ascii="Calibri"/>
        </w:rPr>
        <w:t xml:space="preserve"> </w:t>
      </w:r>
      <w:r w:rsidRPr="00204686">
        <w:rPr>
          <w:rFonts w:ascii="Calibri"/>
          <w:b/>
          <w:bCs/>
        </w:rPr>
        <w:t>25,</w:t>
      </w:r>
      <w:r w:rsidRPr="00204686">
        <w:rPr>
          <w:rFonts w:ascii="Calibri"/>
        </w:rPr>
        <w:t xml:space="preserve"> 25–29 (2000).</w:t>
      </w:r>
    </w:p>
    <w:p w14:paraId="332593F2" w14:textId="77777777" w:rsidR="00204686" w:rsidRPr="00204686" w:rsidRDefault="00204686" w:rsidP="00204686">
      <w:pPr>
        <w:pStyle w:val="Bibliography"/>
        <w:rPr>
          <w:rFonts w:ascii="Calibri"/>
        </w:rPr>
      </w:pPr>
      <w:r w:rsidRPr="00204686">
        <w:rPr>
          <w:rFonts w:ascii="Calibri"/>
        </w:rPr>
        <w:t>20.</w:t>
      </w:r>
      <w:r w:rsidRPr="00204686">
        <w:rPr>
          <w:rFonts w:ascii="Calibri"/>
        </w:rPr>
        <w:tab/>
        <w:t xml:space="preserve">Huang, D. W., Sherman, B. T. &amp; Lempicki, R. A. Systematic and integrative analysis of large gene lists using DAVID bioinformatics resources. </w:t>
      </w:r>
      <w:r w:rsidRPr="00204686">
        <w:rPr>
          <w:rFonts w:ascii="Calibri"/>
          <w:i/>
          <w:iCs/>
        </w:rPr>
        <w:t>Nat. Protoc.</w:t>
      </w:r>
      <w:r w:rsidRPr="00204686">
        <w:rPr>
          <w:rFonts w:ascii="Calibri"/>
        </w:rPr>
        <w:t xml:space="preserve"> </w:t>
      </w:r>
      <w:r w:rsidRPr="00204686">
        <w:rPr>
          <w:rFonts w:ascii="Calibri"/>
          <w:b/>
          <w:bCs/>
        </w:rPr>
        <w:t>4,</w:t>
      </w:r>
      <w:r w:rsidRPr="00204686">
        <w:rPr>
          <w:rFonts w:ascii="Calibri"/>
        </w:rPr>
        <w:t xml:space="preserve"> 44–57 (2008).</w:t>
      </w:r>
    </w:p>
    <w:p w14:paraId="43A97A1D" w14:textId="77777777" w:rsidR="00204686" w:rsidRPr="00204686" w:rsidRDefault="00204686" w:rsidP="00204686">
      <w:pPr>
        <w:pStyle w:val="Bibliography"/>
        <w:rPr>
          <w:rFonts w:ascii="Calibri"/>
        </w:rPr>
      </w:pPr>
      <w:r w:rsidRPr="00204686">
        <w:rPr>
          <w:rFonts w:ascii="Calibri"/>
        </w:rPr>
        <w:t>21.</w:t>
      </w:r>
      <w:r w:rsidRPr="00204686">
        <w:rPr>
          <w:rFonts w:ascii="Calibri"/>
        </w:rPr>
        <w:tab/>
        <w:t xml:space="preserve">Shi, W., Li, C., Louise, C. J. &amp; Adler, J. Mechanism of adverse conditions causing lack of flagella in Escherichia coli. </w:t>
      </w:r>
      <w:r w:rsidRPr="00204686">
        <w:rPr>
          <w:rFonts w:ascii="Calibri"/>
          <w:i/>
          <w:iCs/>
        </w:rPr>
        <w:t>J. Bacteriol.</w:t>
      </w:r>
      <w:r w:rsidRPr="00204686">
        <w:rPr>
          <w:rFonts w:ascii="Calibri"/>
        </w:rPr>
        <w:t xml:space="preserve"> </w:t>
      </w:r>
      <w:r w:rsidRPr="00204686">
        <w:rPr>
          <w:rFonts w:ascii="Calibri"/>
          <w:b/>
          <w:bCs/>
        </w:rPr>
        <w:t>175,</w:t>
      </w:r>
      <w:r w:rsidRPr="00204686">
        <w:rPr>
          <w:rFonts w:ascii="Calibri"/>
        </w:rPr>
        <w:t xml:space="preserve"> 2236–2240 (1993).</w:t>
      </w:r>
    </w:p>
    <w:p w14:paraId="57BE8426" w14:textId="77777777" w:rsidR="00204686" w:rsidRPr="00204686" w:rsidRDefault="00204686" w:rsidP="00204686">
      <w:pPr>
        <w:pStyle w:val="Bibliography"/>
        <w:rPr>
          <w:rFonts w:ascii="Calibri"/>
        </w:rPr>
      </w:pPr>
      <w:r w:rsidRPr="00204686">
        <w:rPr>
          <w:rFonts w:ascii="Calibri"/>
        </w:rPr>
        <w:t>22.</w:t>
      </w:r>
      <w:r w:rsidRPr="00204686">
        <w:rPr>
          <w:rFonts w:ascii="Calibri"/>
        </w:rPr>
        <w:tab/>
        <w:t xml:space="preserve">Braun, V., Hantke, K. &amp; Köster, W. Bacterial iron transport: mechanisms, genetics, and regulation. </w:t>
      </w:r>
      <w:r w:rsidRPr="00204686">
        <w:rPr>
          <w:rFonts w:ascii="Calibri"/>
          <w:i/>
          <w:iCs/>
        </w:rPr>
        <w:t>Met. Ions Biol. Syst.</w:t>
      </w:r>
      <w:r w:rsidRPr="00204686">
        <w:rPr>
          <w:rFonts w:ascii="Calibri"/>
        </w:rPr>
        <w:t xml:space="preserve"> </w:t>
      </w:r>
      <w:r w:rsidRPr="00204686">
        <w:rPr>
          <w:rFonts w:ascii="Calibri"/>
          <w:b/>
          <w:bCs/>
        </w:rPr>
        <w:t>35,</w:t>
      </w:r>
      <w:r w:rsidRPr="00204686">
        <w:rPr>
          <w:rFonts w:ascii="Calibri"/>
        </w:rPr>
        <w:t xml:space="preserve"> 67–145 (1998).</w:t>
      </w:r>
    </w:p>
    <w:p w14:paraId="42E088EF" w14:textId="77777777" w:rsidR="00204686" w:rsidRPr="00204686" w:rsidRDefault="00204686" w:rsidP="00204686">
      <w:pPr>
        <w:pStyle w:val="Bibliography"/>
        <w:rPr>
          <w:rFonts w:ascii="Calibri"/>
        </w:rPr>
      </w:pPr>
      <w:r w:rsidRPr="00204686">
        <w:rPr>
          <w:rFonts w:ascii="Calibri"/>
        </w:rPr>
        <w:t>23.</w:t>
      </w:r>
      <w:r w:rsidRPr="00204686">
        <w:rPr>
          <w:rFonts w:ascii="Calibri"/>
        </w:rPr>
        <w:tab/>
        <w:t xml:space="preserve">Weissenborn, D. L., Wittekindt, N. &amp; Larson, T. J. Structure and regulation of the glpFK operon encoding glycerol diffusion facilitator and glycerol kinase of Escherichia coli K-12. </w:t>
      </w:r>
      <w:r w:rsidRPr="00204686">
        <w:rPr>
          <w:rFonts w:ascii="Calibri"/>
          <w:i/>
          <w:iCs/>
        </w:rPr>
        <w:t>J. Biol. Chem.</w:t>
      </w:r>
      <w:r w:rsidRPr="00204686">
        <w:rPr>
          <w:rFonts w:ascii="Calibri"/>
        </w:rPr>
        <w:t xml:space="preserve"> </w:t>
      </w:r>
      <w:r w:rsidRPr="00204686">
        <w:rPr>
          <w:rFonts w:ascii="Calibri"/>
          <w:b/>
          <w:bCs/>
        </w:rPr>
        <w:t>267,</w:t>
      </w:r>
      <w:r w:rsidRPr="00204686">
        <w:rPr>
          <w:rFonts w:ascii="Calibri"/>
        </w:rPr>
        <w:t xml:space="preserve"> 6122–6131 (1992).</w:t>
      </w:r>
    </w:p>
    <w:p w14:paraId="3AF21E94" w14:textId="77777777" w:rsidR="00204686" w:rsidRPr="00204686" w:rsidRDefault="00204686" w:rsidP="00204686">
      <w:pPr>
        <w:pStyle w:val="Bibliography"/>
        <w:rPr>
          <w:rFonts w:ascii="Calibri"/>
        </w:rPr>
      </w:pPr>
      <w:r w:rsidRPr="00204686">
        <w:rPr>
          <w:rFonts w:ascii="Calibri"/>
        </w:rPr>
        <w:t>24.</w:t>
      </w:r>
      <w:r w:rsidRPr="00204686">
        <w:rPr>
          <w:rFonts w:ascii="Calibri"/>
        </w:rPr>
        <w:tab/>
        <w:t xml:space="preserve">Fujita, Y., Nihashi, J. &amp; Fujita, T. The characterization and cloning of a gluconate (gnt) operon of Bacillus subtilis. </w:t>
      </w:r>
      <w:r w:rsidRPr="00204686">
        <w:rPr>
          <w:rFonts w:ascii="Calibri"/>
          <w:i/>
          <w:iCs/>
        </w:rPr>
        <w:t>J. Gen. Microbiol.</w:t>
      </w:r>
      <w:r w:rsidRPr="00204686">
        <w:rPr>
          <w:rFonts w:ascii="Calibri"/>
        </w:rPr>
        <w:t xml:space="preserve"> </w:t>
      </w:r>
      <w:r w:rsidRPr="00204686">
        <w:rPr>
          <w:rFonts w:ascii="Calibri"/>
          <w:b/>
          <w:bCs/>
        </w:rPr>
        <w:t>132,</w:t>
      </w:r>
      <w:r w:rsidRPr="00204686">
        <w:rPr>
          <w:rFonts w:ascii="Calibri"/>
        </w:rPr>
        <w:t xml:space="preserve"> 161–169 (1986).</w:t>
      </w:r>
    </w:p>
    <w:p w14:paraId="758BE0DD" w14:textId="77777777" w:rsidR="00204686" w:rsidRPr="00204686" w:rsidRDefault="00204686" w:rsidP="00204686">
      <w:pPr>
        <w:pStyle w:val="Bibliography"/>
        <w:rPr>
          <w:rFonts w:ascii="Calibri"/>
        </w:rPr>
      </w:pPr>
      <w:r w:rsidRPr="00204686">
        <w:rPr>
          <w:rFonts w:ascii="Calibri"/>
        </w:rPr>
        <w:t>25.</w:t>
      </w:r>
      <w:r w:rsidRPr="00204686">
        <w:rPr>
          <w:rFonts w:ascii="Calibri"/>
        </w:rPr>
        <w:tab/>
        <w:t xml:space="preserve">Bausch, C. </w:t>
      </w:r>
      <w:r w:rsidRPr="00204686">
        <w:rPr>
          <w:rFonts w:ascii="Calibri"/>
          <w:i/>
          <w:iCs/>
        </w:rPr>
        <w:t>et al.</w:t>
      </w:r>
      <w:r w:rsidRPr="00204686">
        <w:rPr>
          <w:rFonts w:ascii="Calibri"/>
        </w:rPr>
        <w:t xml:space="preserve"> Sequence analysis of the GntII (subsidiary) system for gluconate metabolism reveals a novel pathway for L-idonic acid catabolism in Escherichia coli. </w:t>
      </w:r>
      <w:r w:rsidRPr="00204686">
        <w:rPr>
          <w:rFonts w:ascii="Calibri"/>
          <w:i/>
          <w:iCs/>
        </w:rPr>
        <w:t>J. Bacteriol.</w:t>
      </w:r>
      <w:r w:rsidRPr="00204686">
        <w:rPr>
          <w:rFonts w:ascii="Calibri"/>
        </w:rPr>
        <w:t xml:space="preserve"> </w:t>
      </w:r>
      <w:r w:rsidRPr="00204686">
        <w:rPr>
          <w:rFonts w:ascii="Calibri"/>
          <w:b/>
          <w:bCs/>
        </w:rPr>
        <w:t>180,</w:t>
      </w:r>
      <w:r w:rsidRPr="00204686">
        <w:rPr>
          <w:rFonts w:ascii="Calibri"/>
        </w:rPr>
        <w:t xml:space="preserve"> 3704–3710 (1998).</w:t>
      </w:r>
    </w:p>
    <w:p w14:paraId="123E7AF8" w14:textId="77777777" w:rsidR="00204686" w:rsidRPr="00204686" w:rsidRDefault="00204686" w:rsidP="00204686">
      <w:pPr>
        <w:pStyle w:val="Bibliography"/>
        <w:rPr>
          <w:rFonts w:ascii="Calibri"/>
        </w:rPr>
      </w:pPr>
      <w:r w:rsidRPr="00204686">
        <w:rPr>
          <w:rFonts w:ascii="Calibri"/>
        </w:rPr>
        <w:t>26.</w:t>
      </w:r>
      <w:r w:rsidRPr="00204686">
        <w:rPr>
          <w:rFonts w:ascii="Calibri"/>
        </w:rPr>
        <w:tab/>
        <w:t xml:space="preserve">Dong, J. M., Taylor, J. S., Latour, D. J., Iuchi, S. &amp; Lin, E. C. Three overlapping lct genes involved in L-lactate utilization by Escherichia coli. </w:t>
      </w:r>
      <w:r w:rsidRPr="00204686">
        <w:rPr>
          <w:rFonts w:ascii="Calibri"/>
          <w:i/>
          <w:iCs/>
        </w:rPr>
        <w:t>J. Bacteriol.</w:t>
      </w:r>
      <w:r w:rsidRPr="00204686">
        <w:rPr>
          <w:rFonts w:ascii="Calibri"/>
        </w:rPr>
        <w:t xml:space="preserve"> </w:t>
      </w:r>
      <w:r w:rsidRPr="00204686">
        <w:rPr>
          <w:rFonts w:ascii="Calibri"/>
          <w:b/>
          <w:bCs/>
        </w:rPr>
        <w:t>175,</w:t>
      </w:r>
      <w:r w:rsidRPr="00204686">
        <w:rPr>
          <w:rFonts w:ascii="Calibri"/>
        </w:rPr>
        <w:t xml:space="preserve"> 6671–6678 (1993).</w:t>
      </w:r>
    </w:p>
    <w:p w14:paraId="0200392A" w14:textId="77777777" w:rsidR="00204686" w:rsidRPr="00204686" w:rsidRDefault="00204686" w:rsidP="00204686">
      <w:pPr>
        <w:pStyle w:val="Bibliography"/>
        <w:rPr>
          <w:rFonts w:ascii="Calibri"/>
        </w:rPr>
      </w:pPr>
      <w:r w:rsidRPr="00204686">
        <w:rPr>
          <w:rFonts w:ascii="Calibri"/>
        </w:rPr>
        <w:t>27.</w:t>
      </w:r>
      <w:r w:rsidRPr="00204686">
        <w:rPr>
          <w:rFonts w:ascii="Calibri"/>
        </w:rPr>
        <w:tab/>
        <w:t xml:space="preserve">Gilad, Y. &amp; Mizrahi-Man, O. A reanalysis of mouse ENCODE comparative gene expression data. </w:t>
      </w:r>
      <w:r w:rsidRPr="00204686">
        <w:rPr>
          <w:rFonts w:ascii="Calibri"/>
          <w:i/>
          <w:iCs/>
        </w:rPr>
        <w:t>F1000Research</w:t>
      </w:r>
      <w:r w:rsidRPr="00204686">
        <w:rPr>
          <w:rFonts w:ascii="Calibri"/>
        </w:rPr>
        <w:t xml:space="preserve"> </w:t>
      </w:r>
      <w:r w:rsidRPr="00204686">
        <w:rPr>
          <w:rFonts w:ascii="Calibri"/>
          <w:b/>
          <w:bCs/>
        </w:rPr>
        <w:t>4,</w:t>
      </w:r>
      <w:r w:rsidRPr="00204686">
        <w:rPr>
          <w:rFonts w:ascii="Calibri"/>
        </w:rPr>
        <w:t xml:space="preserve"> 121 (2015).</w:t>
      </w:r>
    </w:p>
    <w:p w14:paraId="5D9DB528" w14:textId="77777777" w:rsidR="00204686" w:rsidRPr="00204686" w:rsidRDefault="00204686" w:rsidP="00204686">
      <w:pPr>
        <w:pStyle w:val="Bibliography"/>
        <w:rPr>
          <w:rFonts w:ascii="Calibri"/>
        </w:rPr>
      </w:pPr>
      <w:r w:rsidRPr="00204686">
        <w:rPr>
          <w:rFonts w:ascii="Calibri"/>
        </w:rPr>
        <w:t>28.</w:t>
      </w:r>
      <w:r w:rsidRPr="00204686">
        <w:rPr>
          <w:rFonts w:ascii="Calibri"/>
        </w:rPr>
        <w:tab/>
        <w:t>Differential analysis of count data – the DESeq2 package. (2016). Available at: http://journals.plos.org/ploscompbiol/article/asset?id=10.1371%2Fjournal.pcbi.1004127.PDF. (Accessed: 12th April 2016)</w:t>
      </w:r>
    </w:p>
    <w:p w14:paraId="063BA285" w14:textId="77777777" w:rsidR="00204686" w:rsidRPr="00204686" w:rsidRDefault="00204686" w:rsidP="00204686">
      <w:pPr>
        <w:pStyle w:val="Bibliography"/>
        <w:rPr>
          <w:rFonts w:ascii="Calibri"/>
        </w:rPr>
      </w:pPr>
      <w:r w:rsidRPr="00204686">
        <w:rPr>
          <w:rFonts w:ascii="Calibri"/>
        </w:rPr>
        <w:t>29.</w:t>
      </w:r>
      <w:r w:rsidRPr="00204686">
        <w:rPr>
          <w:rFonts w:ascii="Calibri"/>
        </w:rPr>
        <w:tab/>
        <w:t xml:space="preserve">Chen, C. </w:t>
      </w:r>
      <w:r w:rsidRPr="00204686">
        <w:rPr>
          <w:rFonts w:ascii="Calibri"/>
          <w:i/>
          <w:iCs/>
        </w:rPr>
        <w:t>et al.</w:t>
      </w:r>
      <w:r w:rsidRPr="00204686">
        <w:rPr>
          <w:rFonts w:ascii="Calibri"/>
        </w:rPr>
        <w:t xml:space="preserve"> Removing batch effects in analysis of expression microarray data: an evaluation of six batch adjustment methods. </w:t>
      </w:r>
      <w:r w:rsidRPr="00204686">
        <w:rPr>
          <w:rFonts w:ascii="Calibri"/>
          <w:i/>
          <w:iCs/>
        </w:rPr>
        <w:t>PloS One</w:t>
      </w:r>
      <w:r w:rsidRPr="00204686">
        <w:rPr>
          <w:rFonts w:ascii="Calibri"/>
        </w:rPr>
        <w:t xml:space="preserve"> </w:t>
      </w:r>
      <w:r w:rsidRPr="00204686">
        <w:rPr>
          <w:rFonts w:ascii="Calibri"/>
          <w:b/>
          <w:bCs/>
        </w:rPr>
        <w:t>6,</w:t>
      </w:r>
      <w:r w:rsidRPr="00204686">
        <w:rPr>
          <w:rFonts w:ascii="Calibri"/>
        </w:rPr>
        <w:t xml:space="preserve"> e17238 (2011).</w:t>
      </w:r>
    </w:p>
    <w:p w14:paraId="38D66A69" w14:textId="77777777" w:rsidR="00204686" w:rsidRPr="00204686" w:rsidRDefault="00204686" w:rsidP="00204686">
      <w:pPr>
        <w:pStyle w:val="Bibliography"/>
        <w:rPr>
          <w:rFonts w:ascii="Calibri"/>
        </w:rPr>
      </w:pPr>
      <w:r w:rsidRPr="00204686">
        <w:rPr>
          <w:rFonts w:ascii="Calibri"/>
        </w:rPr>
        <w:t>30.</w:t>
      </w:r>
      <w:r w:rsidRPr="00204686">
        <w:rPr>
          <w:rFonts w:ascii="Calibri"/>
        </w:rPr>
        <w:tab/>
        <w:t xml:space="preserve">Lazar, C. </w:t>
      </w:r>
      <w:r w:rsidRPr="00204686">
        <w:rPr>
          <w:rFonts w:ascii="Calibri"/>
          <w:i/>
          <w:iCs/>
        </w:rPr>
        <w:t>et al.</w:t>
      </w:r>
      <w:r w:rsidRPr="00204686">
        <w:rPr>
          <w:rFonts w:ascii="Calibri"/>
        </w:rPr>
        <w:t xml:space="preserve"> Batch effect removal methods for microarray gene expression data integration: a survey. </w:t>
      </w:r>
      <w:r w:rsidRPr="00204686">
        <w:rPr>
          <w:rFonts w:ascii="Calibri"/>
          <w:i/>
          <w:iCs/>
        </w:rPr>
        <w:t>Brief. Bioinform.</w:t>
      </w:r>
      <w:r w:rsidRPr="00204686">
        <w:rPr>
          <w:rFonts w:ascii="Calibri"/>
        </w:rPr>
        <w:t xml:space="preserve"> </w:t>
      </w:r>
      <w:r w:rsidRPr="00204686">
        <w:rPr>
          <w:rFonts w:ascii="Calibri"/>
          <w:b/>
          <w:bCs/>
        </w:rPr>
        <w:t>14,</w:t>
      </w:r>
      <w:r w:rsidRPr="00204686">
        <w:rPr>
          <w:rFonts w:ascii="Calibri"/>
        </w:rPr>
        <w:t xml:space="preserve"> 469–490 (2013).</w:t>
      </w:r>
    </w:p>
    <w:p w14:paraId="14BD0A6D" w14:textId="77777777" w:rsidR="00204686" w:rsidRPr="00204686" w:rsidRDefault="00204686" w:rsidP="00204686">
      <w:pPr>
        <w:pStyle w:val="Bibliography"/>
        <w:rPr>
          <w:rFonts w:ascii="Calibri"/>
        </w:rPr>
      </w:pPr>
      <w:r w:rsidRPr="00204686">
        <w:rPr>
          <w:rFonts w:ascii="Calibri"/>
        </w:rPr>
        <w:t>31.</w:t>
      </w:r>
      <w:r w:rsidRPr="00204686">
        <w:rPr>
          <w:rFonts w:ascii="Calibri"/>
        </w:rPr>
        <w:tab/>
        <w:t xml:space="preserve">Johnson, W. E., Li, C. &amp; Rabinovic, A. Adjusting batch effects in microarray expression data using empirical Bayes methods. </w:t>
      </w:r>
      <w:r w:rsidRPr="00204686">
        <w:rPr>
          <w:rFonts w:ascii="Calibri"/>
          <w:i/>
          <w:iCs/>
        </w:rPr>
        <w:t>Biostat. Oxf. Engl.</w:t>
      </w:r>
      <w:r w:rsidRPr="00204686">
        <w:rPr>
          <w:rFonts w:ascii="Calibri"/>
        </w:rPr>
        <w:t xml:space="preserve"> </w:t>
      </w:r>
      <w:r w:rsidRPr="00204686">
        <w:rPr>
          <w:rFonts w:ascii="Calibri"/>
          <w:b/>
          <w:bCs/>
        </w:rPr>
        <w:t>8,</w:t>
      </w:r>
      <w:r w:rsidRPr="00204686">
        <w:rPr>
          <w:rFonts w:ascii="Calibri"/>
        </w:rPr>
        <w:t xml:space="preserve"> 118–127 (2007).</w:t>
      </w:r>
    </w:p>
    <w:p w14:paraId="3345A7A1" w14:textId="77777777" w:rsidR="00204686" w:rsidRPr="00204686" w:rsidRDefault="00204686" w:rsidP="00204686">
      <w:pPr>
        <w:pStyle w:val="Bibliography"/>
        <w:rPr>
          <w:rFonts w:ascii="Calibri"/>
        </w:rPr>
      </w:pPr>
      <w:r w:rsidRPr="00204686">
        <w:rPr>
          <w:rFonts w:ascii="Calibri"/>
        </w:rPr>
        <w:t>32.</w:t>
      </w:r>
      <w:r w:rsidRPr="00204686">
        <w:rPr>
          <w:rFonts w:ascii="Calibri"/>
        </w:rPr>
        <w:tab/>
        <w:t xml:space="preserve">Luo, J. </w:t>
      </w:r>
      <w:r w:rsidRPr="00204686">
        <w:rPr>
          <w:rFonts w:ascii="Calibri"/>
          <w:i/>
          <w:iCs/>
        </w:rPr>
        <w:t>et al.</w:t>
      </w:r>
      <w:r w:rsidRPr="00204686">
        <w:rPr>
          <w:rFonts w:ascii="Calibri"/>
        </w:rPr>
        <w:t xml:space="preserve"> A comparison of batch effect removal methods for enhancement of prediction performance using MAQC-II microarray gene expression data. </w:t>
      </w:r>
      <w:r w:rsidRPr="00204686">
        <w:rPr>
          <w:rFonts w:ascii="Calibri"/>
          <w:i/>
          <w:iCs/>
        </w:rPr>
        <w:t>Pharmacogenomics J.</w:t>
      </w:r>
      <w:r w:rsidRPr="00204686">
        <w:rPr>
          <w:rFonts w:ascii="Calibri"/>
        </w:rPr>
        <w:t xml:space="preserve"> </w:t>
      </w:r>
      <w:r w:rsidRPr="00204686">
        <w:rPr>
          <w:rFonts w:ascii="Calibri"/>
          <w:b/>
          <w:bCs/>
        </w:rPr>
        <w:t>10,</w:t>
      </w:r>
      <w:r w:rsidRPr="00204686">
        <w:rPr>
          <w:rFonts w:ascii="Calibri"/>
        </w:rPr>
        <w:t xml:space="preserve"> 278–291 (2010).</w:t>
      </w:r>
    </w:p>
    <w:p w14:paraId="123C8F87" w14:textId="77777777" w:rsidR="00204686" w:rsidRPr="00204686" w:rsidRDefault="00204686" w:rsidP="00204686">
      <w:pPr>
        <w:pStyle w:val="Bibliography"/>
        <w:rPr>
          <w:rFonts w:ascii="Calibri"/>
        </w:rPr>
      </w:pPr>
      <w:r w:rsidRPr="00204686">
        <w:rPr>
          <w:rFonts w:ascii="Calibri"/>
        </w:rPr>
        <w:t>33.</w:t>
      </w:r>
      <w:r w:rsidRPr="00204686">
        <w:rPr>
          <w:rFonts w:ascii="Calibri"/>
        </w:rPr>
        <w:tab/>
        <w:t xml:space="preserve">Zamboni, N., Fendt, S.-M., Rühl, M. &amp; Sauer, U. 13C-based metabolic flux analysis. </w:t>
      </w:r>
      <w:r w:rsidRPr="00204686">
        <w:rPr>
          <w:rFonts w:ascii="Calibri"/>
          <w:i/>
          <w:iCs/>
        </w:rPr>
        <w:t>Nat. Protoc.</w:t>
      </w:r>
      <w:r w:rsidRPr="00204686">
        <w:rPr>
          <w:rFonts w:ascii="Calibri"/>
        </w:rPr>
        <w:t xml:space="preserve"> </w:t>
      </w:r>
      <w:r w:rsidRPr="00204686">
        <w:rPr>
          <w:rFonts w:ascii="Calibri"/>
          <w:b/>
          <w:bCs/>
        </w:rPr>
        <w:t>4,</w:t>
      </w:r>
      <w:r w:rsidRPr="00204686">
        <w:rPr>
          <w:rFonts w:ascii="Calibri"/>
        </w:rPr>
        <w:t xml:space="preserve"> 878–892 (2009).</w:t>
      </w:r>
    </w:p>
    <w:p w14:paraId="385ADED2" w14:textId="77777777" w:rsidR="00204686" w:rsidRPr="00204686" w:rsidRDefault="00204686" w:rsidP="00204686">
      <w:pPr>
        <w:pStyle w:val="Bibliography"/>
        <w:rPr>
          <w:rFonts w:ascii="Calibri"/>
        </w:rPr>
      </w:pPr>
      <w:r w:rsidRPr="00204686">
        <w:rPr>
          <w:rFonts w:ascii="Calibri"/>
        </w:rPr>
        <w:t>34.</w:t>
      </w:r>
      <w:r w:rsidRPr="00204686">
        <w:rPr>
          <w:rFonts w:ascii="Calibri"/>
        </w:rPr>
        <w:tab/>
        <w:t xml:space="preserve">Zamboni, N., Fischer, E. &amp; Sauer, U. FiatFlux--a software for metabolic flux analysis from 13C-glucose experiments. </w:t>
      </w:r>
      <w:r w:rsidRPr="00204686">
        <w:rPr>
          <w:rFonts w:ascii="Calibri"/>
          <w:i/>
          <w:iCs/>
        </w:rPr>
        <w:t>BMC Bioinformatics</w:t>
      </w:r>
      <w:r w:rsidRPr="00204686">
        <w:rPr>
          <w:rFonts w:ascii="Calibri"/>
        </w:rPr>
        <w:t xml:space="preserve"> </w:t>
      </w:r>
      <w:r w:rsidRPr="00204686">
        <w:rPr>
          <w:rFonts w:ascii="Calibri"/>
          <w:b/>
          <w:bCs/>
        </w:rPr>
        <w:t>6,</w:t>
      </w:r>
      <w:r w:rsidRPr="00204686">
        <w:rPr>
          <w:rFonts w:ascii="Calibri"/>
        </w:rPr>
        <w:t xml:space="preserve"> 209 (2005).</w:t>
      </w:r>
    </w:p>
    <w:p w14:paraId="112301A6" w14:textId="77777777" w:rsidR="00204686" w:rsidRPr="00204686" w:rsidRDefault="00204686" w:rsidP="00204686">
      <w:pPr>
        <w:pStyle w:val="Bibliography"/>
        <w:rPr>
          <w:rFonts w:ascii="Calibri"/>
        </w:rPr>
      </w:pPr>
      <w:r w:rsidRPr="00204686">
        <w:rPr>
          <w:rFonts w:ascii="Calibri"/>
        </w:rPr>
        <w:t>35.</w:t>
      </w:r>
      <w:r w:rsidRPr="00204686">
        <w:rPr>
          <w:rFonts w:ascii="Calibri"/>
        </w:rPr>
        <w:tab/>
        <w:t xml:space="preserve">Raj, A. &amp; van Oudenaarden, A. Stochastic gene expression and its consequences. </w:t>
      </w:r>
      <w:r w:rsidRPr="00204686">
        <w:rPr>
          <w:rFonts w:ascii="Calibri"/>
          <w:i/>
          <w:iCs/>
        </w:rPr>
        <w:t>Cell</w:t>
      </w:r>
      <w:r w:rsidRPr="00204686">
        <w:rPr>
          <w:rFonts w:ascii="Calibri"/>
        </w:rPr>
        <w:t xml:space="preserve"> </w:t>
      </w:r>
      <w:r w:rsidRPr="00204686">
        <w:rPr>
          <w:rFonts w:ascii="Calibri"/>
          <w:b/>
          <w:bCs/>
        </w:rPr>
        <w:t>135,</w:t>
      </w:r>
      <w:r w:rsidRPr="00204686">
        <w:rPr>
          <w:rFonts w:ascii="Calibri"/>
        </w:rPr>
        <w:t xml:space="preserve"> 216–226 (2008).</w:t>
      </w:r>
    </w:p>
    <w:p w14:paraId="0702EB3D" w14:textId="77777777" w:rsidR="00204686" w:rsidRPr="00204686" w:rsidRDefault="00204686" w:rsidP="00204686">
      <w:pPr>
        <w:pStyle w:val="Bibliography"/>
        <w:rPr>
          <w:rFonts w:ascii="Calibri"/>
        </w:rPr>
      </w:pPr>
      <w:r w:rsidRPr="00204686">
        <w:rPr>
          <w:rFonts w:ascii="Calibri"/>
        </w:rPr>
        <w:t>36.</w:t>
      </w:r>
      <w:r w:rsidRPr="00204686">
        <w:rPr>
          <w:rFonts w:ascii="Calibri"/>
        </w:rPr>
        <w:tab/>
        <w:t xml:space="preserve">Langfelder, P. &amp; Horvath, S. Fast R Functions for Robust Correlations and Hierarchical Clustering. </w:t>
      </w:r>
      <w:r w:rsidRPr="00204686">
        <w:rPr>
          <w:rFonts w:ascii="Calibri"/>
          <w:i/>
          <w:iCs/>
        </w:rPr>
        <w:t>J. Stat. Softw.</w:t>
      </w:r>
      <w:r w:rsidRPr="00204686">
        <w:rPr>
          <w:rFonts w:ascii="Calibri"/>
        </w:rPr>
        <w:t xml:space="preserve"> </w:t>
      </w:r>
      <w:r w:rsidRPr="00204686">
        <w:rPr>
          <w:rFonts w:ascii="Calibri"/>
          <w:b/>
          <w:bCs/>
        </w:rPr>
        <w:t>46,</w:t>
      </w:r>
      <w:r w:rsidRPr="00204686">
        <w:rPr>
          <w:rFonts w:ascii="Calibri"/>
        </w:rPr>
        <w:t xml:space="preserve"> (2012).</w:t>
      </w:r>
    </w:p>
    <w:p w14:paraId="160743E7" w14:textId="77777777" w:rsidR="00204686" w:rsidRPr="00204686" w:rsidRDefault="00204686" w:rsidP="00204686">
      <w:pPr>
        <w:pStyle w:val="Bibliography"/>
        <w:rPr>
          <w:rFonts w:ascii="Calibri"/>
        </w:rPr>
      </w:pPr>
      <w:r w:rsidRPr="00204686">
        <w:rPr>
          <w:rFonts w:ascii="Calibri"/>
        </w:rPr>
        <w:t>37.</w:t>
      </w:r>
      <w:r w:rsidRPr="00204686">
        <w:rPr>
          <w:rFonts w:ascii="Calibri"/>
        </w:rPr>
        <w:tab/>
        <w:t xml:space="preserve">Soni Madhulatha, T. An Overview on Clustering Methods. </w:t>
      </w:r>
      <w:r w:rsidRPr="00204686">
        <w:rPr>
          <w:rFonts w:ascii="Calibri"/>
          <w:i/>
          <w:iCs/>
        </w:rPr>
        <w:t>ArXiv E-Prints</w:t>
      </w:r>
      <w:r w:rsidRPr="00204686">
        <w:rPr>
          <w:rFonts w:ascii="Calibri"/>
        </w:rPr>
        <w:t xml:space="preserve"> </w:t>
      </w:r>
      <w:r w:rsidRPr="00204686">
        <w:rPr>
          <w:rFonts w:ascii="Calibri"/>
          <w:b/>
          <w:bCs/>
        </w:rPr>
        <w:t>1205,</w:t>
      </w:r>
      <w:r w:rsidRPr="00204686">
        <w:rPr>
          <w:rFonts w:ascii="Calibri"/>
        </w:rPr>
        <w:t xml:space="preserve"> arXiv:1205.1117 (2012).</w:t>
      </w:r>
    </w:p>
    <w:p w14:paraId="5076BE31" w14:textId="2AC3E15A"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3"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4"/>
      <w:footerReference w:type="default" r:id="rId15"/>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F1D89" w14:textId="77777777" w:rsidR="005B13AB" w:rsidRDefault="005B13AB" w:rsidP="00522EEC">
      <w:r>
        <w:separator/>
      </w:r>
    </w:p>
  </w:endnote>
  <w:endnote w:type="continuationSeparator" w:id="0">
    <w:p w14:paraId="1CB572B9" w14:textId="77777777" w:rsidR="005B13AB" w:rsidRDefault="005B13AB"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13AB">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44A5B" w14:textId="77777777" w:rsidR="005B13AB" w:rsidRDefault="005B13AB" w:rsidP="00522EEC">
      <w:r>
        <w:separator/>
      </w:r>
    </w:p>
  </w:footnote>
  <w:footnote w:type="continuationSeparator" w:id="0">
    <w:p w14:paraId="05178918" w14:textId="77777777" w:rsidR="005B13AB" w:rsidRDefault="005B13AB"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21F"/>
    <w:rsid w:val="001477BA"/>
    <w:rsid w:val="0014794F"/>
    <w:rsid w:val="00147C5D"/>
    <w:rsid w:val="00147D04"/>
    <w:rsid w:val="00150EA6"/>
    <w:rsid w:val="001520BE"/>
    <w:rsid w:val="001524AC"/>
    <w:rsid w:val="0015350C"/>
    <w:rsid w:val="00155863"/>
    <w:rsid w:val="00156779"/>
    <w:rsid w:val="00161AB8"/>
    <w:rsid w:val="00162DB1"/>
    <w:rsid w:val="00164066"/>
    <w:rsid w:val="00165313"/>
    <w:rsid w:val="00166861"/>
    <w:rsid w:val="0017021E"/>
    <w:rsid w:val="001731D5"/>
    <w:rsid w:val="00175061"/>
    <w:rsid w:val="00175D58"/>
    <w:rsid w:val="00176A0E"/>
    <w:rsid w:val="00176D80"/>
    <w:rsid w:val="0018063D"/>
    <w:rsid w:val="0018344D"/>
    <w:rsid w:val="001845D3"/>
    <w:rsid w:val="0018471F"/>
    <w:rsid w:val="00186D36"/>
    <w:rsid w:val="00195CF8"/>
    <w:rsid w:val="00195F58"/>
    <w:rsid w:val="00196B75"/>
    <w:rsid w:val="001A087C"/>
    <w:rsid w:val="001A2BE7"/>
    <w:rsid w:val="001A3CEB"/>
    <w:rsid w:val="001A7A07"/>
    <w:rsid w:val="001B0458"/>
    <w:rsid w:val="001B146F"/>
    <w:rsid w:val="001B1A8D"/>
    <w:rsid w:val="001B1B6F"/>
    <w:rsid w:val="001B74DF"/>
    <w:rsid w:val="001B76EC"/>
    <w:rsid w:val="001C2662"/>
    <w:rsid w:val="001C41CE"/>
    <w:rsid w:val="001C4606"/>
    <w:rsid w:val="001C5445"/>
    <w:rsid w:val="001C6B4F"/>
    <w:rsid w:val="001D046D"/>
    <w:rsid w:val="001D240C"/>
    <w:rsid w:val="001D5AC3"/>
    <w:rsid w:val="001D7CD0"/>
    <w:rsid w:val="001E0875"/>
    <w:rsid w:val="001E0F2B"/>
    <w:rsid w:val="001E0F72"/>
    <w:rsid w:val="001E33D0"/>
    <w:rsid w:val="001E45EC"/>
    <w:rsid w:val="001E4DEA"/>
    <w:rsid w:val="001E6E35"/>
    <w:rsid w:val="001F3501"/>
    <w:rsid w:val="001F54CA"/>
    <w:rsid w:val="002006F0"/>
    <w:rsid w:val="00204686"/>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3004"/>
    <w:rsid w:val="002741BA"/>
    <w:rsid w:val="00276618"/>
    <w:rsid w:val="00282413"/>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6F2"/>
    <w:rsid w:val="002C37BA"/>
    <w:rsid w:val="002C5D75"/>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252D"/>
    <w:rsid w:val="0033763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2441"/>
    <w:rsid w:val="003B6152"/>
    <w:rsid w:val="003B617A"/>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444"/>
    <w:rsid w:val="00426B97"/>
    <w:rsid w:val="004275B7"/>
    <w:rsid w:val="00427DB6"/>
    <w:rsid w:val="00427E9A"/>
    <w:rsid w:val="00432A11"/>
    <w:rsid w:val="004334F7"/>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E88"/>
    <w:rsid w:val="00572BF0"/>
    <w:rsid w:val="0057500F"/>
    <w:rsid w:val="00577D57"/>
    <w:rsid w:val="0058264D"/>
    <w:rsid w:val="0058534C"/>
    <w:rsid w:val="0058663C"/>
    <w:rsid w:val="005870E9"/>
    <w:rsid w:val="005923FC"/>
    <w:rsid w:val="005931D5"/>
    <w:rsid w:val="00593E95"/>
    <w:rsid w:val="0059625A"/>
    <w:rsid w:val="00596DC3"/>
    <w:rsid w:val="005974B0"/>
    <w:rsid w:val="005A2BDD"/>
    <w:rsid w:val="005A2E74"/>
    <w:rsid w:val="005A46FB"/>
    <w:rsid w:val="005A6A99"/>
    <w:rsid w:val="005A744D"/>
    <w:rsid w:val="005B13AB"/>
    <w:rsid w:val="005B15D1"/>
    <w:rsid w:val="005B3BAE"/>
    <w:rsid w:val="005B4126"/>
    <w:rsid w:val="005B5BAD"/>
    <w:rsid w:val="005B6450"/>
    <w:rsid w:val="005B7960"/>
    <w:rsid w:val="005C0286"/>
    <w:rsid w:val="005C33B3"/>
    <w:rsid w:val="005C7429"/>
    <w:rsid w:val="005C7FE7"/>
    <w:rsid w:val="005D74F7"/>
    <w:rsid w:val="005E0DA3"/>
    <w:rsid w:val="005E33FB"/>
    <w:rsid w:val="005E3628"/>
    <w:rsid w:val="005E3DDE"/>
    <w:rsid w:val="005F0BA1"/>
    <w:rsid w:val="005F3944"/>
    <w:rsid w:val="005F56F1"/>
    <w:rsid w:val="00600550"/>
    <w:rsid w:val="006017FF"/>
    <w:rsid w:val="00613136"/>
    <w:rsid w:val="006131A8"/>
    <w:rsid w:val="00614298"/>
    <w:rsid w:val="006178FC"/>
    <w:rsid w:val="0062222B"/>
    <w:rsid w:val="006227A1"/>
    <w:rsid w:val="006232A4"/>
    <w:rsid w:val="00625119"/>
    <w:rsid w:val="00625AB0"/>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2F19"/>
    <w:rsid w:val="0066396D"/>
    <w:rsid w:val="00663AB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2784"/>
    <w:rsid w:val="0076555F"/>
    <w:rsid w:val="007675B4"/>
    <w:rsid w:val="007716D9"/>
    <w:rsid w:val="007733E9"/>
    <w:rsid w:val="00773BDD"/>
    <w:rsid w:val="007754D8"/>
    <w:rsid w:val="00776B56"/>
    <w:rsid w:val="0077747E"/>
    <w:rsid w:val="00780E8E"/>
    <w:rsid w:val="007814D9"/>
    <w:rsid w:val="00783E85"/>
    <w:rsid w:val="00784F24"/>
    <w:rsid w:val="00790C42"/>
    <w:rsid w:val="00792F68"/>
    <w:rsid w:val="00794E3C"/>
    <w:rsid w:val="0079593C"/>
    <w:rsid w:val="00797DEE"/>
    <w:rsid w:val="007A146E"/>
    <w:rsid w:val="007A1633"/>
    <w:rsid w:val="007A18E3"/>
    <w:rsid w:val="007A3A62"/>
    <w:rsid w:val="007A5465"/>
    <w:rsid w:val="007A5EFF"/>
    <w:rsid w:val="007B0321"/>
    <w:rsid w:val="007B145B"/>
    <w:rsid w:val="007B2679"/>
    <w:rsid w:val="007B2831"/>
    <w:rsid w:val="007B6B71"/>
    <w:rsid w:val="007D014B"/>
    <w:rsid w:val="007D2BD6"/>
    <w:rsid w:val="007D66DF"/>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6566"/>
    <w:rsid w:val="00847FA8"/>
    <w:rsid w:val="00850542"/>
    <w:rsid w:val="00850A8E"/>
    <w:rsid w:val="00852FE9"/>
    <w:rsid w:val="00855A4F"/>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2570"/>
    <w:rsid w:val="008D4D86"/>
    <w:rsid w:val="008E7153"/>
    <w:rsid w:val="008F095B"/>
    <w:rsid w:val="008F1107"/>
    <w:rsid w:val="008F4064"/>
    <w:rsid w:val="008F5AAF"/>
    <w:rsid w:val="008F70A9"/>
    <w:rsid w:val="008F76F5"/>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37825"/>
    <w:rsid w:val="009404FC"/>
    <w:rsid w:val="00943B10"/>
    <w:rsid w:val="00944057"/>
    <w:rsid w:val="009473E8"/>
    <w:rsid w:val="00956F36"/>
    <w:rsid w:val="00957C26"/>
    <w:rsid w:val="00964F22"/>
    <w:rsid w:val="00973449"/>
    <w:rsid w:val="00977129"/>
    <w:rsid w:val="00985D59"/>
    <w:rsid w:val="00987E5A"/>
    <w:rsid w:val="00990498"/>
    <w:rsid w:val="009907A4"/>
    <w:rsid w:val="0099174B"/>
    <w:rsid w:val="009923DA"/>
    <w:rsid w:val="00992AB7"/>
    <w:rsid w:val="009953EC"/>
    <w:rsid w:val="00996CA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B9A"/>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691E"/>
    <w:rsid w:val="00A40519"/>
    <w:rsid w:val="00A4264B"/>
    <w:rsid w:val="00A4741C"/>
    <w:rsid w:val="00A47D68"/>
    <w:rsid w:val="00A505E1"/>
    <w:rsid w:val="00A518C3"/>
    <w:rsid w:val="00A5224F"/>
    <w:rsid w:val="00A56276"/>
    <w:rsid w:val="00A567C6"/>
    <w:rsid w:val="00A6256D"/>
    <w:rsid w:val="00A64989"/>
    <w:rsid w:val="00A66F14"/>
    <w:rsid w:val="00A70F4F"/>
    <w:rsid w:val="00A71DB1"/>
    <w:rsid w:val="00A722EF"/>
    <w:rsid w:val="00A74D3F"/>
    <w:rsid w:val="00A827AC"/>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164"/>
    <w:rsid w:val="00AC3AF2"/>
    <w:rsid w:val="00AC4404"/>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3CF3"/>
    <w:rsid w:val="00B37835"/>
    <w:rsid w:val="00B45BFA"/>
    <w:rsid w:val="00B45F0F"/>
    <w:rsid w:val="00B5267D"/>
    <w:rsid w:val="00B527E2"/>
    <w:rsid w:val="00B53684"/>
    <w:rsid w:val="00B63B84"/>
    <w:rsid w:val="00B67655"/>
    <w:rsid w:val="00B72654"/>
    <w:rsid w:val="00B8368E"/>
    <w:rsid w:val="00B90A02"/>
    <w:rsid w:val="00B91F46"/>
    <w:rsid w:val="00B95CC9"/>
    <w:rsid w:val="00B97EC5"/>
    <w:rsid w:val="00BA2935"/>
    <w:rsid w:val="00BA3438"/>
    <w:rsid w:val="00BA4FC6"/>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836"/>
    <w:rsid w:val="00C6318C"/>
    <w:rsid w:val="00C63B06"/>
    <w:rsid w:val="00C64BDE"/>
    <w:rsid w:val="00C654DC"/>
    <w:rsid w:val="00C711F7"/>
    <w:rsid w:val="00C72465"/>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75D"/>
    <w:rsid w:val="00CD00D0"/>
    <w:rsid w:val="00CD652A"/>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45B79"/>
    <w:rsid w:val="00D507C5"/>
    <w:rsid w:val="00D51D05"/>
    <w:rsid w:val="00D51F87"/>
    <w:rsid w:val="00D532F6"/>
    <w:rsid w:val="00D55F77"/>
    <w:rsid w:val="00D5631A"/>
    <w:rsid w:val="00D565BA"/>
    <w:rsid w:val="00D62342"/>
    <w:rsid w:val="00D63610"/>
    <w:rsid w:val="00D63921"/>
    <w:rsid w:val="00D67E01"/>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6C5E"/>
    <w:rsid w:val="00DC7EA0"/>
    <w:rsid w:val="00DD2DF5"/>
    <w:rsid w:val="00DD4E2A"/>
    <w:rsid w:val="00DD62E5"/>
    <w:rsid w:val="00DE280D"/>
    <w:rsid w:val="00DE3A91"/>
    <w:rsid w:val="00DF2F68"/>
    <w:rsid w:val="00DF5027"/>
    <w:rsid w:val="00E01B29"/>
    <w:rsid w:val="00E03271"/>
    <w:rsid w:val="00E053FD"/>
    <w:rsid w:val="00E0611C"/>
    <w:rsid w:val="00E062E9"/>
    <w:rsid w:val="00E077A7"/>
    <w:rsid w:val="00E07902"/>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4BC"/>
    <w:rsid w:val="00EA61CF"/>
    <w:rsid w:val="00EA70E0"/>
    <w:rsid w:val="00EB10EC"/>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907AE"/>
    <w:rsid w:val="00F91445"/>
    <w:rsid w:val="00F9451F"/>
    <w:rsid w:val="00F968A5"/>
    <w:rsid w:val="00F9749E"/>
    <w:rsid w:val="00F974C4"/>
    <w:rsid w:val="00FA0715"/>
    <w:rsid w:val="00FA16F6"/>
    <w:rsid w:val="00FA2A93"/>
    <w:rsid w:val="00FA3817"/>
    <w:rsid w:val="00FB0045"/>
    <w:rsid w:val="00FB00A1"/>
    <w:rsid w:val="00FB078E"/>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hyperlink" Target="https://github.com/umutcaglar/ecoli_multiple_growth_conditions" TargetMode="External"/><Relationship Id="rId13" Type="http://schemas.openxmlformats.org/officeDocument/2006/relationships/hyperlink" Target="http://www.arl.army.mi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 Id="rId9" Type="http://schemas.openxmlformats.org/officeDocument/2006/relationships/hyperlink" Target="mailto:marcotte@icmb.utexas.edu" TargetMode="External"/><Relationship Id="rId10"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9344F-E632-8145-B28F-37A3FA3B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14</Pages>
  <Words>26950</Words>
  <Characters>153617</Characters>
  <Application>Microsoft Macintosh Word</Application>
  <DocSecurity>0</DocSecurity>
  <Lines>1280</Lines>
  <Paragraphs>360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two significant effects in mRNA abundances, are growth phase and Mg </vt:lpstr>
      <vt:lpstr>        Identification of differentially expressed genes</vt:lpstr>
      <vt:lpstr>    Discussion</vt:lpstr>
    </vt:vector>
  </TitlesOfParts>
  <Company>ut austin</Company>
  <LinksUpToDate>false</LinksUpToDate>
  <CharactersWithSpaces>180207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44</cp:revision>
  <cp:lastPrinted>2016-10-11T17:01:00Z</cp:lastPrinted>
  <dcterms:created xsi:type="dcterms:W3CDTF">2016-10-11T17:01:00Z</dcterms:created>
  <dcterms:modified xsi:type="dcterms:W3CDTF">2017-01-17T19:54:00Z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id="iHAi5oRc"/&gt;&lt;style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