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3C382102"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FD77EC">
        <w:t>Bart</w:t>
      </w:r>
      <w:r w:rsidR="009B780F">
        <w:t>ram L.</w:t>
      </w:r>
      <w:r w:rsidR="00FD77EC">
        <w:t xml:space="preserve"> Smith,</w:t>
      </w:r>
      <w:r w:rsidR="00006B59">
        <w:t xml:space="preserve"> Dan Boutz</w:t>
      </w:r>
      <w:bookmarkStart w:id="0" w:name="_GoBack"/>
      <w:bookmarkEnd w:id="0"/>
      <w:r w:rsidR="00FD77EC">
        <w:t xml:space="preserve">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4769CF8B" w:rsidR="00E44657" w:rsidRDefault="009E1177" w:rsidP="00E44657">
      <w:r>
        <w:t xml:space="preserve">Modern systems biology requires extensive, carefully curated </w:t>
      </w:r>
      <w:r w:rsidR="0083665D">
        <w:t>measurement</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414BE994"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but there is a need for more detailed experimental studies including more samples in this area to understand interactions between different levels of omics</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1" w:name="ZOTERO_BREF_SEh32slhUEgt"/>
      <w:bookmarkEnd w:id="1"/>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78F316E4"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genome-wide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ED05E0" w:rsidRPr="00F16271">
        <w:rPr>
          <w:color w:val="000000" w:themeColor="text1"/>
        </w:rPr>
        <w:t xml:space="preserve"> </w:t>
      </w:r>
      <w:r w:rsidR="00DB5BD2" w:rsidRPr="00F16271">
        <w:rPr>
          <w:color w:val="000000" w:themeColor="text1"/>
        </w:rPr>
        <w:fldChar w:fldCharType="begin"/>
      </w:r>
      <w:r w:rsidR="00AE3578" w:rsidRPr="00F16271">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E3578" w:rsidRPr="00F16271">
        <w:rPr>
          <w:noProof/>
          <w:color w:val="000000" w:themeColor="text1"/>
        </w:rPr>
        <w:t>(Lee 1996)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DB5BD2" w:rsidRPr="00F16271">
        <w:rPr>
          <w:color w:val="000000" w:themeColor="text1"/>
        </w:rPr>
        <w:t xml:space="preserve"> </w:t>
      </w:r>
      <w:r w:rsidR="00890612" w:rsidRPr="00F16271">
        <w:rPr>
          <w:color w:val="000000" w:themeColor="text1"/>
        </w:rPr>
        <w:fldChar w:fldCharType="begin"/>
      </w:r>
      <w:r w:rsidR="00AE3578" w:rsidRPr="00F16271">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E3578" w:rsidRPr="00F16271">
        <w:rPr>
          <w:noProof/>
          <w:color w:val="000000" w:themeColor="text1"/>
        </w:rPr>
        <w:t>(Blattner et al. 1997)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 xml:space="preserve">/or proteome in response to </w:t>
      </w:r>
      <w:r w:rsidR="009D10CD">
        <w:rPr>
          <w:color w:val="000000" w:themeColor="text1"/>
        </w:rPr>
        <w:lastRenderedPageBreak/>
        <w:t>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 </w:t>
      </w:r>
      <w:r w:rsidR="00CA5118" w:rsidRPr="009D10CD">
        <w:rPr>
          <w:color w:val="000000" w:themeColor="text1"/>
        </w:rPr>
        <w:fldChar w:fldCharType="begin"/>
      </w:r>
      <w:r w:rsidR="00CA5118" w:rsidRPr="009D10CD">
        <w:rPr>
          <w:color w:val="000000" w:themeColor="text1"/>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CA5118" w:rsidRPr="009D10CD">
        <w:rPr>
          <w:noProof/>
          <w:color w:val="000000" w:themeColor="text1"/>
        </w:rPr>
        <w:t>(Yoon et al. 2003)</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 xml:space="preserve">reduced metabolism and growth </w:t>
      </w:r>
      <w:r w:rsidR="00CA5118" w:rsidRPr="0058663C">
        <w:rPr>
          <w:color w:val="000000" w:themeColor="text1"/>
        </w:rPr>
        <w:fldChar w:fldCharType="begin"/>
      </w:r>
      <w:r w:rsidR="00CA5118" w:rsidRPr="0058663C">
        <w:rPr>
          <w:color w:val="000000" w:themeColor="text1"/>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CA5118" w:rsidRPr="0058663C">
        <w:rPr>
          <w:noProof/>
          <w:color w:val="000000" w:themeColor="text1"/>
        </w:rPr>
        <w:t>(Gadgil, Kapur, and Hu 2005)</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t xml:space="preserve"> </w:t>
      </w:r>
      <w:r w:rsidR="00CA5118" w:rsidRPr="00B45F0F">
        <w:rPr>
          <w:color w:val="000000" w:themeColor="text1"/>
        </w:rPr>
        <w:fldChar w:fldCharType="begin"/>
      </w:r>
      <w:r w:rsidR="00CA5118" w:rsidRPr="00B45F0F">
        <w:rPr>
          <w:color w:val="000000" w:themeColor="text1"/>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CA5118" w:rsidRPr="00B45F0F">
        <w:rPr>
          <w:noProof/>
          <w:color w:val="000000" w:themeColor="text1"/>
        </w:rPr>
        <w:t>(Taniguchi et al. 2010)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 xml:space="preserve">protein response is more varied </w:t>
      </w:r>
      <w:r w:rsidR="00B45F0F" w:rsidRPr="00B45F0F">
        <w:rPr>
          <w:color w:val="000000" w:themeColor="text1"/>
        </w:rPr>
        <w:fldChar w:fldCharType="begin"/>
      </w:r>
      <w:r w:rsidR="00B45F0F" w:rsidRPr="00B45F0F">
        <w:rPr>
          <w:color w:val="000000" w:themeColor="text1"/>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B45F0F" w:rsidRPr="00B45F0F">
        <w:rPr>
          <w:color w:val="000000" w:themeColor="text1"/>
        </w:rPr>
        <w:t>(Houser et al. 2015)</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Larger-scale studies that measure mRNA and/or protein abundances under multiple different conditions include </w:t>
      </w:r>
      <w:r w:rsidR="009D10CD">
        <w:rPr>
          <w:color w:val="000000" w:themeColor="text1"/>
        </w:rPr>
        <w:fldChar w:fldCharType="begin"/>
      </w:r>
      <w:r w:rsidR="00B102F5">
        <w:rPr>
          <w:color w:val="000000" w:themeColor="text1"/>
        </w:rPr>
        <w:instrText xml:space="preserve"> ADDIN ZOTERO_ITEM CSL_CITATION {"citationID":"VIAOyhUw","properties":{"formattedCitation":"(Soufi et al. 2015; Schmidt et al. 2015; Lewis et al. 2010; Lewis et al. 2009)","plainCitation":"(Soufi et al. 2015; Schmidt et al. 2015; Lewis et al. 2010; Lewis et al. 2009)"},"citationItems":[{"id":"VsbbiPUB/tzDTs4TE","uris":["http://zotero.org/users/local/FOPKHRFW/items/QU4JC9QC"],"uri":["http://zotero.org/users/local/FOPKHRFW/items/QU4JC9QC"],"itemData":{"id":"VsbbiPUB/tzDTs4TE","type":"article-journal","title":"Characterization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B102F5">
        <w:rPr>
          <w:noProof/>
          <w:color w:val="000000" w:themeColor="text1"/>
        </w:rPr>
        <w:t>(Soufi et al. 2015; Schmidt et al. 2015; Lewis et al. 2010; Lewis et al. 2009)</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48C797C9"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39FAFBE8"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inconsistencies in biological replicates</w:t>
      </w:r>
      <w:r w:rsidRPr="00964F22">
        <w:t>,</w:t>
      </w:r>
      <w:r>
        <w:t xml:space="preserve"> so that our final data set consisted of </w:t>
      </w:r>
      <w:r w:rsidR="002A6E4A">
        <w:t xml:space="preserve">143 </w:t>
      </w:r>
      <w:r>
        <w:t xml:space="preserve">RNA samples and 101 </w:t>
      </w:r>
      <w:r w:rsidR="002A6E4A">
        <w:t>protein samples</w:t>
      </w:r>
      <w:r w:rsidR="00F16271">
        <w:t xml:space="preserve"> (</w:t>
      </w:r>
      <w:r>
        <w:t>S</w:t>
      </w:r>
      <w:r w:rsidR="00F91445">
        <w:t>upplementary Table</w:t>
      </w:r>
      <w:r w:rsidR="00F16271">
        <w:t xml:space="preserve"> 1</w:t>
      </w:r>
      <w:r>
        <w:t>)</w:t>
      </w:r>
      <w:r w:rsidR="00F16271">
        <w:t>.</w:t>
      </w:r>
    </w:p>
    <w:p w14:paraId="43216E4D" w14:textId="70AEFF98" w:rsidR="002A6E4A" w:rsidRDefault="002A6E4A" w:rsidP="007B145B"/>
    <w:p w14:paraId="77ED53FB" w14:textId="214FE588"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w:t>
      </w:r>
      <w:r w:rsidR="00F16271">
        <w:t>lementary</w:t>
      </w:r>
      <w:r>
        <w:t xml:space="preserve">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 xml:space="preserve">To identify broad trends of gene expression among the different growth conditions, we performed hierarchical clustering on both mRNA and protein abundances (Figures 2 and 3). For </w:t>
      </w:r>
      <w:r w:rsidRPr="00B67655">
        <w:lastRenderedPageBreak/>
        <w:t>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DAB498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7ECCD88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 a</w:t>
      </w:r>
      <w:r w:rsidR="008C75B1" w:rsidRPr="00D51D05">
        <w:rPr>
          <w:rFonts w:eastAsiaTheme="minorEastAsia" w:cstheme="minorBidi"/>
          <w:b w:val="0"/>
          <w:bCs w:val="0"/>
          <w:color w:val="auto"/>
        </w:rPr>
        <w:t xml:space="preserve">ll bacterial samples with the same batch number were </w:t>
      </w:r>
      <w:r w:rsidR="003D76B4">
        <w:rPr>
          <w:rFonts w:eastAsiaTheme="minorEastAsia" w:cstheme="minorBidi"/>
          <w:b w:val="0"/>
          <w:bCs w:val="0"/>
          <w:color w:val="auto"/>
        </w:rPr>
        <w:t>grown in parallel</w:t>
      </w:r>
      <w:r w:rsidR="008C75B1" w:rsidRPr="00D51D05">
        <w:rPr>
          <w:rFonts w:eastAsiaTheme="minorEastAsia" w:cstheme="minorBidi"/>
          <w:b w:val="0"/>
          <w:bCs w:val="0"/>
          <w:color w:val="auto"/>
        </w:rPr>
        <w:t xml:space="preserve">. </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61684D6D"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weren’</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7FFCD1F"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6D1FF6" w:rsidRPr="00964F22">
        <w:rPr>
          <w:color w:val="000000" w:themeColor="text1"/>
        </w:rPr>
        <w:t xml:space="preserve"> DeSeq2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Pr="00964F22">
        <w:rPr>
          <w:color w:val="000000" w:themeColor="text1"/>
        </w:rPr>
        <w:t>d a reference condition of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+1</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033329" w:rsidRPr="00964F22">
        <w:rPr>
          <w:color w:val="000000" w:themeColor="text1"/>
        </w:rPr>
        <w:t>. We then compared RNA and protein abundances between this reference condition and the alternative conditions (different carbon sources, elevated Na</w:t>
      </w:r>
      <w:r w:rsidR="00033329" w:rsidRPr="00964F22">
        <w:rPr>
          <w:color w:val="000000" w:themeColor="text1"/>
          <w:vertAlign w:val="superscript"/>
        </w:rPr>
        <w:t>+1</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033329" w:rsidRPr="00964F22">
        <w:rPr>
          <w:bCs/>
          <w:color w:val="000000" w:themeColor="text1"/>
        </w:rPr>
        <w:t xml:space="preserve">). </w:t>
      </w:r>
      <w:r w:rsidR="00033329" w:rsidRPr="00964F22">
        <w:rPr>
          <w:bCs/>
          <w:color w:val="000000" w:themeColor="text1"/>
        </w:rPr>
        <w:lastRenderedPageBreak/>
        <w:t xml:space="preserve">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28F75E67"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4A469C" w:rsidRPr="009C6843">
        <w:t xml:space="preserve"> levels and again</w:t>
      </w:r>
      <w:r w:rsidR="00D40704">
        <w:t xml:space="preserve"> for the carbon source glycerol </w:t>
      </w:r>
      <w:r w:rsidR="00D40704" w:rsidRPr="00262505">
        <w:rPr>
          <w:color w:val="000000" w:themeColor="text1"/>
        </w:rPr>
        <w:t>(Figure 4).</w:t>
      </w:r>
    </w:p>
    <w:p w14:paraId="62E2E73F" w14:textId="77777777" w:rsidR="003A289C" w:rsidRPr="009C6843" w:rsidRDefault="003A289C" w:rsidP="003A289C"/>
    <w:p w14:paraId="180A6616" w14:textId="10D8E43C"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t xml:space="preserve">At the mRNA level, there was little overlap between Na stress and either Mg stress or carbon source, and moderate overlap between Mg stress and carbon source, in particular in exponential phase (Figure 5). By contrast, at the protein level, there was more overlap between Na stress and either Mg stress or carbon source, </w:t>
      </w:r>
      <w:r w:rsidR="00092E0B">
        <w:t>in particular in exponential phase (Figure 5).</w:t>
      </w:r>
    </w:p>
    <w:p w14:paraId="555664F3" w14:textId="77777777" w:rsidR="009F4A72" w:rsidRPr="009C6843" w:rsidRDefault="009F4A72" w:rsidP="005E0DA3"/>
    <w:p w14:paraId="7F8BB649" w14:textId="6C059898" w:rsidR="00810298" w:rsidRPr="00AC4F09" w:rsidRDefault="00667D70" w:rsidP="005E0DA3">
      <w:pPr>
        <w:rPr>
          <w:color w:val="0000FF"/>
          <w:highlight w:val="lightGray"/>
        </w:rPr>
      </w:pPr>
      <w:r w:rsidRPr="00AC4F09">
        <w:rPr>
          <w:color w:val="0000FF"/>
        </w:rPr>
        <w:t xml:space="preserve">To see the response of </w:t>
      </w:r>
      <w:r w:rsidRPr="00AC4F09">
        <w:rPr>
          <w:i/>
          <w:color w:val="0000FF"/>
        </w:rPr>
        <w:t>E.</w:t>
      </w:r>
      <w:r w:rsidR="00B2175E" w:rsidRPr="00AC4F09">
        <w:rPr>
          <w:i/>
          <w:color w:val="0000FF"/>
        </w:rPr>
        <w:t xml:space="preserve"> </w:t>
      </w:r>
      <w:r w:rsidRPr="00AC4F09">
        <w:rPr>
          <w:i/>
          <w:color w:val="0000FF"/>
        </w:rPr>
        <w:t>coli</w:t>
      </w:r>
      <w:r w:rsidRPr="00AC4F09">
        <w:rPr>
          <w:color w:val="0000FF"/>
        </w:rPr>
        <w:t xml:space="preserve"> to different external conditions we look </w:t>
      </w:r>
      <w:r w:rsidR="00790C42" w:rsidRPr="00AC4F09">
        <w:rPr>
          <w:color w:val="0000FF"/>
        </w:rPr>
        <w:t xml:space="preserve">at the </w:t>
      </w:r>
      <w:r w:rsidRPr="00AC4F09">
        <w:rPr>
          <w:color w:val="0000FF"/>
        </w:rPr>
        <w:t>significantly altered biological pathways and molecular activities of gene products. We use Kyoto Encyclopedia of</w:t>
      </w:r>
      <w:r w:rsidR="006267EB" w:rsidRPr="00AC4F09">
        <w:rPr>
          <w:color w:val="0000FF"/>
        </w:rPr>
        <w:t xml:space="preserve"> Genes and Genomes (KEGG) </w:t>
      </w:r>
      <w:r w:rsidR="006267EB" w:rsidRPr="00AC4F09">
        <w:rPr>
          <w:color w:val="0000FF"/>
        </w:rPr>
        <w:fldChar w:fldCharType="begin"/>
      </w:r>
      <w:r w:rsidR="006267EB" w:rsidRPr="00AC4F09">
        <w:rPr>
          <w:color w:val="0000FF"/>
        </w:rPr>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AC4F09">
        <w:rPr>
          <w:color w:val="0000FF"/>
        </w:rPr>
        <w:fldChar w:fldCharType="separate"/>
      </w:r>
      <w:r w:rsidR="006267EB" w:rsidRPr="00AC4F09">
        <w:rPr>
          <w:noProof/>
          <w:color w:val="0000FF"/>
        </w:rPr>
        <w:t>(Kanehisa and Goto 2000)</w:t>
      </w:r>
      <w:r w:rsidR="006267EB" w:rsidRPr="00AC4F09">
        <w:rPr>
          <w:color w:val="0000FF"/>
        </w:rPr>
        <w:fldChar w:fldCharType="end"/>
      </w:r>
      <w:r w:rsidRPr="00AC4F09">
        <w:rPr>
          <w:color w:val="0000FF"/>
        </w:rPr>
        <w:t xml:space="preserve"> for biological pathways and annotations from Gene Ontology (GO)</w:t>
      </w:r>
      <w:r w:rsidR="006267EB" w:rsidRPr="00AC4F09">
        <w:rPr>
          <w:color w:val="0000FF"/>
        </w:rPr>
        <w:t xml:space="preserve"> </w:t>
      </w:r>
      <w:r w:rsidRPr="00AC4F09">
        <w:rPr>
          <w:color w:val="0000FF"/>
        </w:rPr>
        <w:t>Consortiu</w:t>
      </w:r>
      <w:r w:rsidR="006267EB" w:rsidRPr="00AC4F09">
        <w:rPr>
          <w:color w:val="0000FF"/>
        </w:rPr>
        <w:t xml:space="preserve">m for molecular functions </w:t>
      </w:r>
      <w:r w:rsidR="006267EB" w:rsidRPr="00AC4F09">
        <w:rPr>
          <w:color w:val="0000FF"/>
        </w:rPr>
        <w:fldChar w:fldCharType="begin"/>
      </w:r>
      <w:r w:rsidR="006267EB" w:rsidRPr="00AC4F09">
        <w:rPr>
          <w:color w:val="0000FF"/>
        </w:rPr>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AC4F09">
        <w:rPr>
          <w:color w:val="0000FF"/>
        </w:rPr>
        <w:fldChar w:fldCharType="separate"/>
      </w:r>
      <w:r w:rsidR="006267EB" w:rsidRPr="00AC4F09">
        <w:rPr>
          <w:noProof/>
          <w:color w:val="0000FF"/>
        </w:rPr>
        <w:t>(Ashburner et al. 2000)</w:t>
      </w:r>
      <w:r w:rsidR="006267EB" w:rsidRPr="00AC4F09">
        <w:rPr>
          <w:color w:val="0000FF"/>
        </w:rPr>
        <w:fldChar w:fldCharType="end"/>
      </w:r>
      <w:r w:rsidRPr="00AC4F09">
        <w:rPr>
          <w:color w:val="0000FF"/>
        </w:rPr>
        <w:t>. To find the significantly altered GO annotations and KEGG pathways we use DAVID</w:t>
      </w:r>
      <w:r w:rsidR="006267EB" w:rsidRPr="00AC4F09">
        <w:rPr>
          <w:color w:val="0000FF"/>
        </w:rPr>
        <w:t xml:space="preserve"> </w:t>
      </w:r>
      <w:r w:rsidR="006267EB" w:rsidRPr="00AC4F09">
        <w:rPr>
          <w:color w:val="0000FF"/>
        </w:rPr>
        <w:fldChar w:fldCharType="begin"/>
      </w:r>
      <w:r w:rsidR="006267EB" w:rsidRPr="00AC4F09">
        <w:rPr>
          <w:color w:val="0000FF"/>
        </w:rPr>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6267EB" w:rsidRPr="00AC4F09">
        <w:rPr>
          <w:color w:val="0000FF"/>
        </w:rPr>
        <w:fldChar w:fldCharType="separate"/>
      </w:r>
      <w:r w:rsidR="006267EB" w:rsidRPr="00AC4F09">
        <w:rPr>
          <w:noProof/>
          <w:color w:val="0000FF"/>
        </w:rPr>
        <w:t>(Huang, Sherman, and Lempicki 2008)</w:t>
      </w:r>
      <w:r w:rsidR="006267EB" w:rsidRPr="00AC4F09">
        <w:rPr>
          <w:color w:val="0000FF"/>
        </w:rPr>
        <w:fldChar w:fldCharType="end"/>
      </w:r>
      <w:r w:rsidRPr="00AC4F09">
        <w:rPr>
          <w:color w:val="0000FF"/>
        </w:rPr>
        <w:t xml:space="preserve"> web tools, and use </w:t>
      </w:r>
      <w:commentRangeStart w:id="2"/>
      <w:r w:rsidRPr="00AC4F09">
        <w:rPr>
          <w:i/>
          <w:color w:val="0000FF"/>
        </w:rPr>
        <w:t>P'</w:t>
      </w:r>
      <w:commentRangeEnd w:id="2"/>
      <w:r w:rsidR="00B2175E" w:rsidRPr="00AC4F09">
        <w:rPr>
          <w:rStyle w:val="CommentReference"/>
          <w:color w:val="0000FF"/>
        </w:rPr>
        <w:commentReference w:id="2"/>
      </w:r>
      <w:r w:rsidRPr="00AC4F09">
        <w:rPr>
          <w:i/>
          <w:color w:val="0000FF"/>
        </w:rPr>
        <w:t xml:space="preserve"> = 0.05</w:t>
      </w:r>
      <w:r w:rsidRPr="00AC4F09">
        <w:rPr>
          <w:color w:val="0000FF"/>
        </w:rPr>
        <w:t xml:space="preserve"> to filter significantly altered molecular activities </w:t>
      </w:r>
      <w:r w:rsidRPr="00AC4F09">
        <w:rPr>
          <w:color w:val="0000FF"/>
        </w:rPr>
        <w:lastRenderedPageBreak/>
        <w:t>and biological pathways.</w:t>
      </w:r>
      <w:r w:rsidR="006267EB" w:rsidRPr="00AC4F09">
        <w:rPr>
          <w:color w:val="0000FF"/>
        </w:rPr>
        <w:t xml:space="preserve"> </w:t>
      </w:r>
      <w:r w:rsidR="009E12B3" w:rsidRPr="00AC4F09">
        <w:rPr>
          <w:color w:val="0000FF"/>
        </w:rPr>
        <w:t>Su</w:t>
      </w:r>
      <w:r w:rsidR="00FF43E9" w:rsidRPr="00AC4F09">
        <w:rPr>
          <w:color w:val="0000FF"/>
        </w:rPr>
        <w:t>pplementary tables 6 and 7 show</w:t>
      </w:r>
      <w:r w:rsidR="009E12B3" w:rsidRPr="00AC4F09">
        <w:rPr>
          <w:color w:val="0000FF"/>
        </w:rPr>
        <w:t xml:space="preserve"> </w:t>
      </w:r>
      <w:r w:rsidR="00FF43E9" w:rsidRPr="00AC4F09">
        <w:rPr>
          <w:color w:val="0000FF"/>
        </w:rPr>
        <w:t xml:space="preserve">the </w:t>
      </w:r>
      <w:r w:rsidR="009E12B3" w:rsidRPr="00AC4F09">
        <w:rPr>
          <w:color w:val="0000FF"/>
        </w:rPr>
        <w:t xml:space="preserve">top 5 significantly altered </w:t>
      </w:r>
      <w:r w:rsidR="006267EB" w:rsidRPr="00AC4F09">
        <w:rPr>
          <w:color w:val="0000FF"/>
        </w:rPr>
        <w:t xml:space="preserve">biological pathways indicated by KEGG </w:t>
      </w:r>
      <w:r w:rsidR="009E12B3" w:rsidRPr="00AC4F09">
        <w:rPr>
          <w:color w:val="0000FF"/>
        </w:rPr>
        <w:t xml:space="preserve">and molecular function </w:t>
      </w:r>
      <w:r w:rsidR="00FF43E9" w:rsidRPr="00AC4F09">
        <w:rPr>
          <w:color w:val="0000FF"/>
        </w:rPr>
        <w:t>as indicated by</w:t>
      </w:r>
      <w:r w:rsidR="009E12B3" w:rsidRPr="00AC4F09">
        <w:rPr>
          <w:color w:val="0000FF"/>
        </w:rPr>
        <w:t xml:space="preserve"> GO annotations under different conditions. We also individually display the changed pathways</w:t>
      </w:r>
      <w:r w:rsidR="007716D9" w:rsidRPr="00AC4F09">
        <w:rPr>
          <w:color w:val="0000FF"/>
        </w:rPr>
        <w:t>/annotations and associated, significantly altered mRNAs and proteins</w:t>
      </w:r>
      <w:r w:rsidR="009E12B3" w:rsidRPr="00AC4F09">
        <w:rPr>
          <w:color w:val="0000FF"/>
        </w:rPr>
        <w:t xml:space="preserve"> under supplementary figures</w:t>
      </w:r>
      <w:r w:rsidR="00FF43E9" w:rsidRPr="00AC4F09">
        <w:rPr>
          <w:color w:val="0000FF"/>
        </w:rPr>
        <w:t xml:space="preserve"> </w:t>
      </w:r>
      <w:r w:rsidR="00810298" w:rsidRPr="00AC4F09">
        <w:rPr>
          <w:color w:val="0000FF"/>
        </w:rPr>
        <w:t>1</w:t>
      </w:r>
      <w:r w:rsidR="00BE15CA" w:rsidRPr="00AC4F09">
        <w:rPr>
          <w:color w:val="0000FF"/>
        </w:rPr>
        <w:t>–</w:t>
      </w:r>
      <w:r w:rsidR="00810298" w:rsidRPr="00AC4F09">
        <w:rPr>
          <w:color w:val="0000FF"/>
        </w:rPr>
        <w:t>39</w:t>
      </w:r>
      <w:r w:rsidR="009E12B3" w:rsidRPr="00AC4F09">
        <w:rPr>
          <w:color w:val="0000FF"/>
        </w:rPr>
        <w:t xml:space="preserve">. </w:t>
      </w:r>
      <w:r w:rsidR="00810298" w:rsidRPr="00AC4F09">
        <w:rPr>
          <w:color w:val="0000FF"/>
        </w:rPr>
        <w:t>Significantly al</w:t>
      </w:r>
      <w:r w:rsidR="00790C42" w:rsidRPr="00AC4F09">
        <w:rPr>
          <w:color w:val="0000FF"/>
        </w:rPr>
        <w:t>tered KEGG pathways with high Na</w:t>
      </w:r>
      <w:r w:rsidR="00790C42" w:rsidRPr="00AC4F09">
        <w:rPr>
          <w:color w:val="0000FF"/>
          <w:vertAlign w:val="superscript"/>
        </w:rPr>
        <w:t>+1</w:t>
      </w:r>
      <w:r w:rsidR="00810298" w:rsidRPr="00AC4F09">
        <w:rPr>
          <w:color w:val="0000FF"/>
        </w:rPr>
        <w:t xml:space="preserve"> and </w:t>
      </w:r>
      <w:r w:rsidR="00790C42" w:rsidRPr="00AC4F09">
        <w:rPr>
          <w:color w:val="0000FF"/>
        </w:rPr>
        <w:t>high Mg</w:t>
      </w:r>
      <w:r w:rsidR="00790C42" w:rsidRPr="00AC4F09">
        <w:rPr>
          <w:color w:val="0000FF"/>
          <w:vertAlign w:val="superscript"/>
        </w:rPr>
        <w:t>+2</w:t>
      </w:r>
      <w:r w:rsidR="00790C42" w:rsidRPr="00AC4F09">
        <w:rPr>
          <w:color w:val="0000FF"/>
        </w:rPr>
        <w:t xml:space="preserve"> </w:t>
      </w:r>
      <w:r w:rsidR="00810298" w:rsidRPr="00AC4F09">
        <w:rPr>
          <w:color w:val="0000FF"/>
        </w:rPr>
        <w:t>concentrations</w:t>
      </w:r>
      <w:r w:rsidR="00790C42" w:rsidRPr="00AC4F09">
        <w:rPr>
          <w:color w:val="0000FF"/>
        </w:rPr>
        <w:t xml:space="preserve"> in exponential phase associated with mRNA concentrations are shown in figures 6 and 7. As one can see, almost all of the most altered pathways are significantly down regulated in both situations</w:t>
      </w:r>
    </w:p>
    <w:p w14:paraId="4ED76DF0" w14:textId="77777777" w:rsidR="009E12B3" w:rsidRPr="00AC4F09" w:rsidRDefault="009E12B3" w:rsidP="005E0DA3">
      <w:pPr>
        <w:rPr>
          <w:color w:val="0000FF"/>
        </w:rPr>
      </w:pPr>
    </w:p>
    <w:p w14:paraId="38C92860" w14:textId="46741531" w:rsidR="006E4EDD" w:rsidRPr="00AC4F09" w:rsidRDefault="009E12B3" w:rsidP="005E0DA3">
      <w:pPr>
        <w:rPr>
          <w:color w:val="0000FF"/>
        </w:rPr>
      </w:pPr>
      <w:r w:rsidRPr="00AC4F09">
        <w:rPr>
          <w:color w:val="0000FF"/>
        </w:rPr>
        <w:t>W</w:t>
      </w:r>
      <w:r w:rsidR="006E4EDD" w:rsidRPr="00AC4F09">
        <w:rPr>
          <w:color w:val="0000FF"/>
        </w:rPr>
        <w:t xml:space="preserve">e </w:t>
      </w:r>
      <w:r w:rsidRPr="00AC4F09">
        <w:rPr>
          <w:color w:val="0000FF"/>
        </w:rPr>
        <w:t xml:space="preserve">also </w:t>
      </w:r>
      <w:r w:rsidR="009D4F6B" w:rsidRPr="00AC4F09">
        <w:rPr>
          <w:color w:val="0000FF"/>
        </w:rPr>
        <w:t xml:space="preserve">found, </w:t>
      </w:r>
      <w:r w:rsidR="00481646" w:rsidRPr="00AC4F09">
        <w:rPr>
          <w:color w:val="0000FF"/>
        </w:rPr>
        <w:t xml:space="preserve">in </w:t>
      </w:r>
      <w:r w:rsidR="009D4F6B" w:rsidRPr="00AC4F09">
        <w:rPr>
          <w:color w:val="0000FF"/>
        </w:rPr>
        <w:t xml:space="preserve">contrast to other salt stresses </w:t>
      </w:r>
      <w:r w:rsidR="00790C42" w:rsidRPr="00AC4F09">
        <w:rPr>
          <w:color w:val="0000FF"/>
        </w:rPr>
        <w:t>we observed</w:t>
      </w:r>
      <w:r w:rsidR="009D4F6B" w:rsidRPr="00AC4F09">
        <w:rPr>
          <w:color w:val="0000FF"/>
        </w:rPr>
        <w:t xml:space="preserve">, high Mg concentrations in stationary phase causes up regulation of many metabolism related pathways </w:t>
      </w:r>
      <w:r w:rsidR="008272F5" w:rsidRPr="00AC4F09">
        <w:rPr>
          <w:color w:val="0000FF"/>
        </w:rPr>
        <w:t>(F</w:t>
      </w:r>
      <w:r w:rsidR="00EA61CF" w:rsidRPr="00AC4F09">
        <w:rPr>
          <w:color w:val="0000FF"/>
        </w:rPr>
        <w:t xml:space="preserve">igure </w:t>
      </w:r>
      <w:r w:rsidR="009D4F6B" w:rsidRPr="00AC4F09">
        <w:rPr>
          <w:color w:val="0000FF"/>
        </w:rPr>
        <w:t>8</w:t>
      </w:r>
      <w:r w:rsidR="00625119" w:rsidRPr="00AC4F09">
        <w:rPr>
          <w:color w:val="0000FF"/>
        </w:rPr>
        <w:t xml:space="preserve">), </w:t>
      </w:r>
      <w:r w:rsidR="00794E3C" w:rsidRPr="00AC4F09">
        <w:rPr>
          <w:color w:val="0000FF"/>
        </w:rPr>
        <w:t>which seems like an exception when considering othe</w:t>
      </w:r>
      <w:r w:rsidR="00E6439A" w:rsidRPr="00AC4F09">
        <w:rPr>
          <w:color w:val="0000FF"/>
        </w:rPr>
        <w:t>r up and down regulation trends</w:t>
      </w:r>
      <w:r w:rsidR="00794E3C" w:rsidRPr="00AC4F09">
        <w:rPr>
          <w:color w:val="0000FF"/>
        </w:rPr>
        <w:t xml:space="preserve"> (Figure 9)</w:t>
      </w:r>
      <w:r w:rsidR="00E6439A" w:rsidRPr="00AC4F09">
        <w:rPr>
          <w:color w:val="0000FF"/>
        </w:rPr>
        <w:t>.</w:t>
      </w:r>
    </w:p>
    <w:p w14:paraId="77D5FF8A" w14:textId="77777777" w:rsidR="004A3752" w:rsidRDefault="004A3752" w:rsidP="005E0DA3">
      <w:pPr>
        <w:rPr>
          <w:color w:val="0000FF"/>
        </w:rPr>
      </w:pPr>
    </w:p>
    <w:p w14:paraId="0D0BCD43" w14:textId="70ED617B" w:rsidR="0040122D" w:rsidRDefault="006E46BD" w:rsidP="004F79A2">
      <w:pPr>
        <w:pStyle w:val="Heading2"/>
      </w:pPr>
      <w:r>
        <w:t>Discussion</w:t>
      </w:r>
    </w:p>
    <w:p w14:paraId="0E932949" w14:textId="77777777" w:rsidR="004F79A2" w:rsidRDefault="004F79A2" w:rsidP="004F79A2"/>
    <w:p w14:paraId="6B073D37" w14:textId="0E90132A"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114E90A"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BB570B" w:rsidRPr="006B7B8D">
        <w:rPr>
          <w:color w:val="000000" w:themeColor="text1"/>
        </w:rPr>
        <w:t xml:space="preserve"> </w:t>
      </w:r>
      <w:r w:rsidR="00435168" w:rsidRPr="006B7B8D">
        <w:rPr>
          <w:color w:val="000000" w:themeColor="text1"/>
        </w:rPr>
        <w:fldChar w:fldCharType="begin"/>
      </w:r>
      <w:r w:rsidR="00435168" w:rsidRPr="006B7B8D">
        <w:rPr>
          <w:color w:val="000000" w:themeColor="text1"/>
        </w:rPr>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w:t>
      </w:r>
      <w:r w:rsidR="00475604" w:rsidRPr="006B7B8D">
        <w:rPr>
          <w:noProof/>
          <w:color w:val="000000" w:themeColor="text1"/>
        </w:rPr>
        <w:t>Schmidt et al. 2015</w:t>
      </w:r>
      <w:r w:rsidR="00435168" w:rsidRPr="006B7B8D">
        <w:rPr>
          <w:noProof/>
          <w:color w:val="000000" w:themeColor="text1"/>
        </w:rPr>
        <w:t>)</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435168" w:rsidRPr="006B7B8D">
        <w:rPr>
          <w:color w:val="000000" w:themeColor="text1"/>
        </w:rPr>
        <w:fldChar w:fldCharType="begin"/>
      </w:r>
      <w:r w:rsidR="00435168" w:rsidRPr="006B7B8D">
        <w:rPr>
          <w:color w:val="000000" w:themeColor="text1"/>
        </w:rPr>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(Soufi et al. 2015)</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D04EB2" w:rsidRPr="00316923">
        <w:rPr>
          <w:color w:val="000000" w:themeColor="text1"/>
        </w:rPr>
        <w:t xml:space="preserve"> </w:t>
      </w:r>
      <w:r w:rsidR="00D04EB2" w:rsidRPr="00316923">
        <w:rPr>
          <w:color w:val="000000" w:themeColor="text1"/>
        </w:rPr>
        <w:fldChar w:fldCharType="begin"/>
      </w:r>
      <w:r w:rsidR="00D04EB2" w:rsidRPr="00316923">
        <w:rPr>
          <w:color w:val="000000" w:themeColor="text1"/>
        </w:rPr>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D04EB2" w:rsidRPr="00316923">
        <w:rPr>
          <w:noProof/>
          <w:color w:val="000000" w:themeColor="text1"/>
        </w:rPr>
        <w:t>(Lewis et al. 2010)</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435168" w:rsidRPr="00316923">
        <w:rPr>
          <w:color w:val="000000" w:themeColor="text1"/>
        </w:rPr>
        <w:fldChar w:fldCharType="begin"/>
      </w:r>
      <w:r w:rsidR="00435168" w:rsidRPr="00316923">
        <w:rPr>
          <w:color w:val="000000" w:themeColor="text1"/>
        </w:rPr>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435168" w:rsidRPr="00316923">
        <w:rPr>
          <w:noProof/>
          <w:color w:val="000000" w:themeColor="text1"/>
        </w:rPr>
        <w:t>(Lewis et al. 2009)</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9C7933" w:rsidRPr="00316923">
        <w:rPr>
          <w:color w:val="000000" w:themeColor="text1"/>
        </w:rPr>
        <w:t>ed 143 mRNA</w:t>
      </w:r>
      <w:r w:rsidR="00316923" w:rsidRPr="00316923">
        <w:rPr>
          <w:color w:val="000000" w:themeColor="text1"/>
        </w:rPr>
        <w:t xml:space="preserve"> expression profile</w:t>
      </w:r>
      <w:r w:rsidR="009C7933" w:rsidRPr="00316923">
        <w:rPr>
          <w:color w:val="000000" w:themeColor="text1"/>
        </w:rPr>
        <w:t>s and 101</w:t>
      </w:r>
      <w:r w:rsidRPr="00316923">
        <w:rPr>
          <w:color w:val="000000" w:themeColor="text1"/>
        </w:rPr>
        <w:t xml:space="preserve"> protein</w:t>
      </w:r>
      <w:r w:rsidR="00316923" w:rsidRPr="00316923">
        <w:rPr>
          <w:color w:val="000000" w:themeColor="text1"/>
        </w:rPr>
        <w:t xml:space="preserve"> expression profiles, and used the same genotype throughout</w:t>
      </w:r>
      <w:r w:rsidRPr="00316923">
        <w:rPr>
          <w:color w:val="000000" w:themeColor="text1"/>
        </w:rPr>
        <w:t>.</w:t>
      </w:r>
    </w:p>
    <w:p w14:paraId="0764EB1B" w14:textId="77777777" w:rsidR="00BB570B" w:rsidRDefault="00BB570B" w:rsidP="00776B56"/>
    <w:p w14:paraId="2C4EE8F4" w14:textId="4714633C" w:rsidR="00B2041C" w:rsidRDefault="0086748F" w:rsidP="008D4D86">
      <w:pPr>
        <w:rPr>
          <w:color w:val="0000FF"/>
        </w:rPr>
      </w:pPr>
      <w:r w:rsidRPr="0086748F">
        <w:rPr>
          <w:color w:val="000000" w:themeColor="text1"/>
        </w:rPr>
        <w:t xml:space="preserve">Similar to our prior study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rPr>
          <w:color w:val="000000" w:themeColor="text1"/>
        </w:rPr>
        <w:t xml:space="preserve"> reported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8146CA" w:rsidRPr="0046734B">
        <w:rPr>
          <w:color w:val="000000" w:themeColor="text1"/>
        </w:rPr>
        <w:t>23.99)</w:t>
      </w:r>
      <w:r w:rsidR="0046734B" w:rsidRPr="008D4D86">
        <w:rPr>
          <w:color w:val="000000" w:themeColor="text1"/>
        </w:rPr>
        <w:t xml:space="preserve"> whereas proteins were</w:t>
      </w:r>
      <w:r w:rsidR="008D4D86" w:rsidRPr="008D4D86">
        <w:rPr>
          <w:color w:val="000000" w:themeColor="text1"/>
        </w:rPr>
        <w:t xml:space="preserve"> much less so (</w:t>
      </w:r>
      <w:r w:rsidR="008D4D86" w:rsidRPr="008D4D86">
        <w:rPr>
          <w:i/>
          <w:color w:val="000000" w:themeColor="text1"/>
        </w:rPr>
        <w:t>z</w:t>
      </w:r>
      <w:r w:rsidR="008D4D86" w:rsidRPr="008D4D86">
        <w:rPr>
          <w:color w:val="000000" w:themeColor="text1"/>
        </w:rPr>
        <w:t xml:space="preserve"> = −4.21)</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8146CA" w:rsidRPr="008D4D86">
        <w:rPr>
          <w:color w:val="000000" w:themeColor="text1"/>
        </w:rPr>
        <w:t>Na</w:t>
      </w:r>
      <w:r w:rsidR="008D4D86" w:rsidRPr="008D4D86">
        <w:rPr>
          <w:color w:val="000000" w:themeColor="text1"/>
          <w:vertAlign w:val="superscript"/>
        </w:rPr>
        <w:t>+1</w:t>
      </w:r>
      <w:r w:rsidR="008146CA" w:rsidRPr="008D4D86">
        <w:rPr>
          <w:color w:val="000000" w:themeColor="text1"/>
        </w:rPr>
        <w:t xml:space="preserve"> levels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4.78)</w:t>
      </w:r>
      <w:r w:rsidR="008D4D86" w:rsidRPr="008D4D86">
        <w:rPr>
          <w:color w:val="000000" w:themeColor="text1"/>
        </w:rPr>
        <w:t xml:space="preserve"> and </w:t>
      </w:r>
      <w:r w:rsidR="008146CA" w:rsidRPr="008D4D86">
        <w:rPr>
          <w:color w:val="000000" w:themeColor="text1"/>
        </w:rPr>
        <w:t>carbon source (</w:t>
      </w:r>
      <w:r w:rsidR="008146CA" w:rsidRPr="008D4D86">
        <w:rPr>
          <w:i/>
          <w:color w:val="000000" w:themeColor="text1"/>
        </w:rPr>
        <w:t>z</w:t>
      </w:r>
      <w:r w:rsidR="00472806" w:rsidRPr="008D4D86">
        <w:rPr>
          <w:color w:val="000000" w:themeColor="text1"/>
        </w:rPr>
        <w:t xml:space="preserve"> </w:t>
      </w:r>
      <w:r w:rsidR="008146CA"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3.25)</w:t>
      </w:r>
      <w:r w:rsidR="008D4D86" w:rsidRPr="008D4D86">
        <w:rPr>
          <w:color w:val="000000" w:themeColor="text1"/>
        </w:rPr>
        <w:t xml:space="preserve">, which we didn’t see at the mRNA level. Overall </w:t>
      </w:r>
      <w:r w:rsidR="008D4D86">
        <w:rPr>
          <w:color w:val="000000" w:themeColor="text1"/>
        </w:rPr>
        <w:t>these observations are consistent with the conclusion from</w:t>
      </w:r>
      <w:r w:rsidR="008D4D86" w:rsidRPr="0086748F">
        <w:rPr>
          <w:color w:val="000000" w:themeColor="text1"/>
        </w:rPr>
        <w:t xml:space="preserve"> </w:t>
      </w:r>
      <w:r w:rsidR="008D4D86" w:rsidRPr="0086748F">
        <w:rPr>
          <w:color w:val="000000" w:themeColor="text1"/>
        </w:rPr>
        <w:fldChar w:fldCharType="begin"/>
      </w:r>
      <w:r w:rsidR="008D4D86"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8D4D86" w:rsidRPr="0086748F">
        <w:rPr>
          <w:noProof/>
          <w:color w:val="000000" w:themeColor="text1"/>
        </w:rPr>
        <w:t>(Houser et al. 2015)</w:t>
      </w:r>
      <w:r w:rsidR="008D4D86" w:rsidRPr="0086748F">
        <w:rPr>
          <w:color w:val="000000" w:themeColor="text1"/>
        </w:rPr>
        <w:fldChar w:fldCharType="end"/>
      </w:r>
      <w:r w:rsidR="008D4D86">
        <w:rPr>
          <w:color w:val="000000" w:themeColor="text1"/>
        </w:rPr>
        <w:t xml:space="preserve"> that mRNA synthesis is widely shut-off in stationary phase, likely to preserve energy, and that proteins are selectively retained to guarantee cell survival and ability to jump-start metabolic activity once nutrients become available again. </w:t>
      </w:r>
    </w:p>
    <w:p w14:paraId="742FCCC3" w14:textId="77777777" w:rsidR="008D4D86" w:rsidRDefault="008D4D86" w:rsidP="008D4D86">
      <w:pPr>
        <w:rPr>
          <w:color w:val="0000FF"/>
        </w:rPr>
      </w:pPr>
    </w:p>
    <w:p w14:paraId="439957B6" w14:textId="6CC6BF13" w:rsidR="00736DF0" w:rsidRPr="00504F91" w:rsidRDefault="00736DF0" w:rsidP="00736DF0">
      <w:pPr>
        <w:tabs>
          <w:tab w:val="left" w:pos="3637"/>
        </w:tabs>
        <w:rPr>
          <w:color w:val="0000FF"/>
        </w:rPr>
      </w:pPr>
      <w:r w:rsidRPr="00736DF0">
        <w:rPr>
          <w:i/>
          <w:color w:val="FF0000"/>
        </w:rPr>
        <w:t>Combine with previous paragraph:</w:t>
      </w:r>
      <w:r>
        <w:rPr>
          <w:color w:val="0000FF"/>
        </w:rPr>
        <w:t xml:space="preserve"> </w:t>
      </w:r>
      <w:r w:rsidRPr="00504F91">
        <w:rPr>
          <w:color w:val="0000FF"/>
        </w:rPr>
        <w:t xml:space="preserve">In 2015 </w:t>
      </w:r>
      <w:r w:rsidRPr="00504F91">
        <w:rPr>
          <w:color w:val="0000FF"/>
        </w:rPr>
        <w:fldChar w:fldCharType="begin"/>
      </w:r>
      <w:r w:rsidRPr="00504F91">
        <w:rPr>
          <w:color w:val="0000FF"/>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504F91">
        <w:rPr>
          <w:color w:val="0000FF"/>
        </w:rPr>
        <w:fldChar w:fldCharType="separate"/>
      </w:r>
      <w:r w:rsidRPr="00504F91">
        <w:rPr>
          <w:noProof/>
          <w:color w:val="0000FF"/>
        </w:rPr>
        <w:t>(Houser et al. 2015)</w:t>
      </w:r>
      <w:r w:rsidRPr="00504F91">
        <w:rPr>
          <w:color w:val="0000FF"/>
        </w:rPr>
        <w:fldChar w:fldCharType="end"/>
      </w:r>
      <w:r w:rsidRPr="00504F91">
        <w:rPr>
          <w:color w:val="0000FF"/>
        </w:rPr>
        <w:t xml:space="preserve"> study founds an up regulation of stress related proteins and down regulation of energy intensive processes, with our extended data set we also found down regulation of metabolism related processes almost in all stress conditions and in all growth phases. Some similar down-regulated pathways under stresses other than glucose starvation are translation, flagellar assembly, nucleotide related pathways such as RNA degredation, aminoacyl-tRNA biosynthesis. Similar stress related down regulation of pathways associated with energy intensive processes were also reported in several previous studies. </w:t>
      </w:r>
      <w:r w:rsidRPr="00504F91">
        <w:rPr>
          <w:color w:val="0000FF"/>
        </w:rPr>
        <w:fldChar w:fldCharType="begin"/>
      </w:r>
      <w:r w:rsidRPr="00504F91">
        <w:rPr>
          <w:color w:val="0000FF"/>
        </w:rPr>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Pr="00504F91">
        <w:rPr>
          <w:color w:val="0000FF"/>
        </w:rPr>
        <w:fldChar w:fldCharType="separate"/>
      </w:r>
      <w:r w:rsidRPr="00504F91">
        <w:rPr>
          <w:noProof/>
          <w:color w:val="0000FF"/>
        </w:rPr>
        <w:t>(Yoon et al. 2003; Gadgil, Kapur, and Hu 2005)</w:t>
      </w:r>
      <w:r w:rsidRPr="00504F91">
        <w:rPr>
          <w:color w:val="0000FF"/>
        </w:rPr>
        <w:fldChar w:fldCharType="end"/>
      </w:r>
    </w:p>
    <w:p w14:paraId="03048D5A" w14:textId="77777777" w:rsidR="00736DF0" w:rsidRDefault="00736DF0" w:rsidP="008D4D86">
      <w:pPr>
        <w:rPr>
          <w:color w:val="0000FF"/>
        </w:rPr>
      </w:pPr>
    </w:p>
    <w:p w14:paraId="60AF63ED" w14:textId="77777777" w:rsidR="00736DF0" w:rsidRPr="008D4D86" w:rsidRDefault="00736DF0" w:rsidP="008D4D86">
      <w:pPr>
        <w:rPr>
          <w:color w:val="0000FF"/>
        </w:rPr>
      </w:pPr>
    </w:p>
    <w:p w14:paraId="3660C005" w14:textId="77777777" w:rsidR="00733208" w:rsidRDefault="00B1782E" w:rsidP="00733208">
      <w:pPr>
        <w:rPr>
          <w:color w:val="000000" w:themeColor="text1"/>
        </w:rPr>
      </w:pPr>
      <w:r>
        <w:rPr>
          <w:color w:val="000000" w:themeColor="text1"/>
        </w:rPr>
        <w:t xml:space="preserve">For all growth conditions we observed patterns of altered gene expression consistent with the known function of the differentially expressed genes. </w:t>
      </w:r>
      <w:r w:rsidR="00A64989">
        <w:rPr>
          <w:color w:val="000000" w:themeColor="text1"/>
        </w:rPr>
        <w:t xml:space="preserve">For example, </w:t>
      </w:r>
      <w:r w:rsidRPr="009B780F">
        <w:rPr>
          <w:color w:val="000000" w:themeColor="text1"/>
        </w:rPr>
        <w:t>under Na</w:t>
      </w:r>
      <w:r w:rsidRPr="009B780F">
        <w:rPr>
          <w:color w:val="000000" w:themeColor="text1"/>
          <w:vertAlign w:val="superscript"/>
        </w:rPr>
        <w:t>+1</w:t>
      </w:r>
      <w:r w:rsidRPr="009B780F">
        <w:rPr>
          <w:color w:val="000000" w:themeColor="text1"/>
        </w:rPr>
        <w:t xml:space="preserve"> stress</w:t>
      </w:r>
      <w:r>
        <w:rPr>
          <w:color w:val="000000" w:themeColor="text1"/>
        </w:rPr>
        <w:t xml:space="preserve"> </w:t>
      </w:r>
      <w:r w:rsidR="00A64989">
        <w:rPr>
          <w:color w:val="000000" w:themeColor="text1"/>
        </w:rPr>
        <w:t xml:space="preserve">we saw </w:t>
      </w:r>
      <w:r w:rsidR="00A64989" w:rsidRPr="009B780F">
        <w:rPr>
          <w:color w:val="000000" w:themeColor="text1"/>
        </w:rPr>
        <w:t>up-regulation of tktB and talA</w:t>
      </w:r>
      <w:r w:rsidR="00A64989">
        <w:rPr>
          <w:color w:val="000000" w:themeColor="text1"/>
        </w:rPr>
        <w:t xml:space="preserve">, as previously reported </w:t>
      </w:r>
      <w:r w:rsidR="00B2041C" w:rsidRPr="009B780F">
        <w:rPr>
          <w:color w:val="000000" w:themeColor="text1"/>
        </w:rPr>
        <w:fldChar w:fldCharType="begin"/>
      </w:r>
      <w:r w:rsidR="00B2041C" w:rsidRPr="009B780F">
        <w:rPr>
          <w:color w:val="000000" w:themeColor="text1"/>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9B780F">
        <w:rPr>
          <w:color w:val="000000" w:themeColor="text1"/>
        </w:rPr>
        <w:fldChar w:fldCharType="separate"/>
      </w:r>
      <w:r w:rsidR="00B2041C" w:rsidRPr="009B780F">
        <w:rPr>
          <w:rFonts w:ascii="Calibri"/>
          <w:color w:val="000000" w:themeColor="text1"/>
        </w:rPr>
        <w:t>(Weber, Kögl, and Jung 2006)</w:t>
      </w:r>
      <w:r w:rsidR="00B2041C" w:rsidRPr="009B780F">
        <w:rPr>
          <w:color w:val="000000" w:themeColor="text1"/>
        </w:rPr>
        <w:fldChar w:fldCharType="end"/>
      </w:r>
      <w:r w:rsidR="00A64989">
        <w:rPr>
          <w:color w:val="000000" w:themeColor="text1"/>
        </w:rPr>
        <w:t xml:space="preserve">. </w:t>
      </w:r>
      <w:r w:rsidR="009B780F" w:rsidRPr="009B780F">
        <w:rPr>
          <w:color w:val="000000" w:themeColor="text1"/>
        </w:rPr>
        <w:t xml:space="preserve">We also saw many </w:t>
      </w:r>
      <w:r w:rsidR="00B2041C" w:rsidRPr="009B780F">
        <w:rPr>
          <w:color w:val="000000" w:themeColor="text1"/>
        </w:rPr>
        <w:t>changes in ABC transporter expression</w:t>
      </w:r>
      <w:r w:rsidR="009B780F" w:rsidRPr="009B780F">
        <w:rPr>
          <w:color w:val="000000" w:themeColor="text1"/>
        </w:rPr>
        <w:t xml:space="preserve"> </w:t>
      </w:r>
      <w:commentRangeStart w:id="3"/>
      <w:r w:rsidR="009B780F" w:rsidRPr="009B780F">
        <w:rPr>
          <w:color w:val="000000" w:themeColor="text1"/>
        </w:rPr>
        <w:t>under</w:t>
      </w:r>
      <w:r>
        <w:rPr>
          <w:color w:val="000000" w:themeColor="text1"/>
        </w:rPr>
        <w:t xml:space="preserve"> both </w:t>
      </w:r>
      <w:r w:rsidRPr="009B780F">
        <w:rPr>
          <w:color w:val="000000" w:themeColor="text1"/>
        </w:rPr>
        <w:t>Na</w:t>
      </w:r>
      <w:r w:rsidRPr="009B780F">
        <w:rPr>
          <w:color w:val="000000" w:themeColor="text1"/>
          <w:vertAlign w:val="superscript"/>
        </w:rPr>
        <w:t>+1</w:t>
      </w:r>
      <w:r w:rsidRPr="009B780F">
        <w:rPr>
          <w:color w:val="000000" w:themeColor="text1"/>
        </w:rPr>
        <w:t xml:space="preserve"> stress</w:t>
      </w:r>
      <w:r>
        <w:rPr>
          <w:color w:val="000000" w:themeColor="text1"/>
        </w:rPr>
        <w:t xml:space="preserve"> and </w:t>
      </w:r>
      <w:r w:rsidRPr="009B780F">
        <w:rPr>
          <w:color w:val="000000" w:themeColor="text1"/>
        </w:rPr>
        <w:t>Mg</w:t>
      </w:r>
      <w:r w:rsidRPr="009B780F">
        <w:rPr>
          <w:color w:val="000000" w:themeColor="text1"/>
          <w:vertAlign w:val="superscript"/>
        </w:rPr>
        <w:t>+2</w:t>
      </w:r>
      <w:r w:rsidR="009B780F" w:rsidRPr="009B780F">
        <w:rPr>
          <w:color w:val="000000" w:themeColor="text1"/>
        </w:rPr>
        <w:t xml:space="preserve"> stress</w:t>
      </w:r>
      <w:commentRangeEnd w:id="3"/>
      <w:r>
        <w:rPr>
          <w:rStyle w:val="CommentReference"/>
        </w:rPr>
        <w:commentReference w:id="3"/>
      </w:r>
      <w:r w:rsidR="00112B0F">
        <w:rPr>
          <w:color w:val="000000" w:themeColor="text1"/>
        </w:rPr>
        <w:t xml:space="preserve">. </w:t>
      </w:r>
      <w:r w:rsidR="00B2041C" w:rsidRPr="009B780F">
        <w:rPr>
          <w:color w:val="000000" w:themeColor="text1"/>
        </w:rPr>
        <w:t>In particular, low Mg</w:t>
      </w:r>
      <w:r w:rsidR="00481646" w:rsidRPr="009B780F">
        <w:rPr>
          <w:color w:val="000000" w:themeColor="text1"/>
          <w:vertAlign w:val="superscript"/>
        </w:rPr>
        <w:t>+</w:t>
      </w:r>
      <w:r w:rsidR="00B2041C" w:rsidRPr="009B780F">
        <w:rPr>
          <w:color w:val="000000" w:themeColor="text1"/>
          <w:vertAlign w:val="superscript"/>
        </w:rPr>
        <w:t>2</w:t>
      </w:r>
      <w:r w:rsidR="00B2041C" w:rsidRPr="009B780F">
        <w:rPr>
          <w:color w:val="000000" w:themeColor="text1"/>
        </w:rPr>
        <w:t xml:space="preserve"> concentrations cause</w:t>
      </w:r>
      <w:r w:rsidR="00A64989">
        <w:rPr>
          <w:color w:val="000000" w:themeColor="text1"/>
        </w:rPr>
        <w:t>d</w:t>
      </w:r>
      <w:r w:rsidR="00B2041C" w:rsidRPr="009B780F">
        <w:rPr>
          <w:color w:val="000000" w:themeColor="text1"/>
        </w:rPr>
        <w:t xml:space="preserve"> a decrease in the fec opero</w:t>
      </w:r>
      <w:r w:rsidR="00112B0F">
        <w:rPr>
          <w:color w:val="000000" w:themeColor="text1"/>
        </w:rPr>
        <w:t>n</w:t>
      </w:r>
      <w:r w:rsidR="00A64989">
        <w:rPr>
          <w:color w:val="000000" w:themeColor="text1"/>
        </w:rPr>
        <w:t xml:space="preserve"> involved in iron transport. </w:t>
      </w:r>
      <w:r w:rsidR="00112B0F">
        <w:rPr>
          <w:color w:val="000000" w:themeColor="text1"/>
        </w:rPr>
        <w:t>A possible explanation is that</w:t>
      </w:r>
      <w:r w:rsidR="00B2041C" w:rsidRPr="009B780F">
        <w:rPr>
          <w:color w:val="000000" w:themeColor="text1"/>
        </w:rPr>
        <w:t xml:space="preserve"> magnesium transporters are permeab</w:t>
      </w:r>
      <w:r w:rsidR="002A1375" w:rsidRPr="009B780F">
        <w:rPr>
          <w:color w:val="000000" w:themeColor="text1"/>
        </w:rPr>
        <w:t>le to ferrous iron</w:t>
      </w:r>
      <w:r w:rsidR="00112B0F" w:rsidRPr="009B780F">
        <w:rPr>
          <w:color w:val="000000" w:themeColor="text1"/>
        </w:rPr>
        <w:t xml:space="preserve"> at low magnesium concentrations</w:t>
      </w:r>
      <w:r w:rsidR="00112B0F">
        <w:rPr>
          <w:color w:val="000000" w:themeColor="text1"/>
        </w:rPr>
        <w:t xml:space="preserve"> </w:t>
      </w:r>
      <w:r w:rsidR="002A1375" w:rsidRPr="009B780F">
        <w:rPr>
          <w:color w:val="000000" w:themeColor="text1"/>
        </w:rPr>
        <w:fldChar w:fldCharType="begin"/>
      </w:r>
      <w:r w:rsidR="002A1375" w:rsidRPr="009B780F">
        <w:rPr>
          <w:color w:val="000000" w:themeColor="text1"/>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sidRPr="009B780F">
        <w:rPr>
          <w:color w:val="000000" w:themeColor="text1"/>
        </w:rPr>
        <w:fldChar w:fldCharType="separate"/>
      </w:r>
      <w:r w:rsidR="002A1375" w:rsidRPr="009B780F">
        <w:rPr>
          <w:noProof/>
          <w:color w:val="000000" w:themeColor="text1"/>
        </w:rPr>
        <w:t>(Hantke 1997)</w:t>
      </w:r>
      <w:r w:rsidR="002A1375" w:rsidRPr="009B780F">
        <w:rPr>
          <w:color w:val="000000" w:themeColor="text1"/>
        </w:rPr>
        <w:fldChar w:fldCharType="end"/>
      </w:r>
      <w:r w:rsidR="00A64989">
        <w:rPr>
          <w:color w:val="000000" w:themeColor="text1"/>
        </w:rPr>
        <w:t>,</w:t>
      </w:r>
      <w:r w:rsidR="00B2041C" w:rsidRPr="009B780F">
        <w:rPr>
          <w:color w:val="000000" w:themeColor="text1"/>
        </w:rPr>
        <w:t xml:space="preserve"> and a down</w:t>
      </w:r>
      <w:r w:rsidR="00A64989">
        <w:rPr>
          <w:color w:val="000000" w:themeColor="text1"/>
        </w:rPr>
        <w:t>-</w:t>
      </w:r>
      <w:r w:rsidR="00B2041C" w:rsidRPr="009B780F">
        <w:rPr>
          <w:color w:val="000000" w:themeColor="text1"/>
        </w:rPr>
        <w:t>re</w:t>
      </w:r>
      <w:r w:rsidR="00112B0F">
        <w:rPr>
          <w:color w:val="000000" w:themeColor="text1"/>
        </w:rPr>
        <w:t>gulation of iron transporters may be</w:t>
      </w:r>
      <w:r w:rsidR="00B2041C" w:rsidRPr="009B780F">
        <w:rPr>
          <w:color w:val="000000" w:themeColor="text1"/>
        </w:rPr>
        <w:t xml:space="preserve"> needed to compensate.  The f</w:t>
      </w:r>
      <w:r w:rsidR="00112B0F">
        <w:rPr>
          <w:color w:val="000000" w:themeColor="text1"/>
        </w:rPr>
        <w:t>act that many ABC transporters we</w:t>
      </w:r>
      <w:r w:rsidR="00B2041C" w:rsidRPr="009B780F">
        <w:rPr>
          <w:color w:val="000000" w:themeColor="text1"/>
        </w:rPr>
        <w:t>re affected by salt concentrations may be indicative of other transporters that are leaky to off-target ions</w:t>
      </w:r>
      <w:r w:rsidR="00112B0F">
        <w:rPr>
          <w:color w:val="000000" w:themeColor="text1"/>
        </w:rPr>
        <w:t>.</w:t>
      </w:r>
      <w:r w:rsidR="00733208">
        <w:rPr>
          <w:color w:val="000000" w:themeColor="text1"/>
        </w:rPr>
        <w:t xml:space="preserve"> </w:t>
      </w:r>
    </w:p>
    <w:p w14:paraId="549A2728" w14:textId="77777777" w:rsidR="00733208" w:rsidRDefault="00733208" w:rsidP="00733208">
      <w:pPr>
        <w:rPr>
          <w:color w:val="000000" w:themeColor="text1"/>
        </w:rPr>
      </w:pPr>
    </w:p>
    <w:p w14:paraId="7531D25D" w14:textId="4237D08F" w:rsidR="00481646" w:rsidRPr="00E932B2" w:rsidRDefault="00733208" w:rsidP="00733208">
      <w:pPr>
        <w:rPr>
          <w:color w:val="000000" w:themeColor="text1"/>
        </w:rPr>
      </w:pPr>
      <w:r>
        <w:rPr>
          <w:color w:val="000000" w:themeColor="text1"/>
        </w:rPr>
        <w:t>P</w:t>
      </w:r>
      <w:r w:rsidR="00481646" w:rsidRPr="00E932B2">
        <w:rPr>
          <w:color w:val="000000" w:themeColor="text1"/>
        </w:rPr>
        <w:t xml:space="preserve">roviding glycerol </w:t>
      </w:r>
      <w:r w:rsidR="00E932B2">
        <w:rPr>
          <w:color w:val="000000" w:themeColor="text1"/>
        </w:rPr>
        <w:t xml:space="preserve">instead of glucose </w:t>
      </w:r>
      <w:r w:rsidR="00481646" w:rsidRPr="00E932B2">
        <w:rPr>
          <w:color w:val="000000" w:themeColor="text1"/>
        </w:rPr>
        <w:t xml:space="preserve">as the sole carbon source </w:t>
      </w:r>
      <w:r w:rsidR="00E932B2">
        <w:rPr>
          <w:color w:val="000000" w:themeColor="text1"/>
        </w:rPr>
        <w:t>increased</w:t>
      </w:r>
      <w:r w:rsidR="00481646" w:rsidRPr="00E932B2">
        <w:rPr>
          <w:color w:val="000000" w:themeColor="text1"/>
        </w:rPr>
        <w:t xml:space="preserve"> expression of the glp operon, which is involved in glycerol uptake </w:t>
      </w:r>
      <w:r w:rsidR="002A1375" w:rsidRPr="00E932B2">
        <w:rPr>
          <w:color w:val="000000" w:themeColor="text1"/>
        </w:rPr>
        <w:fldChar w:fldCharType="begin"/>
      </w:r>
      <w:r w:rsidR="002A1375" w:rsidRPr="00E932B2">
        <w:rPr>
          <w:color w:val="000000" w:themeColor="text1"/>
        </w:rPr>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rsidRPr="00E932B2">
        <w:rPr>
          <w:color w:val="000000" w:themeColor="text1"/>
        </w:rPr>
        <w:fldChar w:fldCharType="separate"/>
      </w:r>
      <w:r w:rsidR="002A1375" w:rsidRPr="00E932B2">
        <w:rPr>
          <w:noProof/>
          <w:color w:val="000000" w:themeColor="text1"/>
        </w:rPr>
        <w:t>(Weissenborn, Wittekindt, and Larson 1992)</w:t>
      </w:r>
      <w:r w:rsidR="002A1375" w:rsidRPr="00E932B2">
        <w:rPr>
          <w:color w:val="000000" w:themeColor="text1"/>
        </w:rPr>
        <w:fldChar w:fldCharType="end"/>
      </w:r>
      <w:r w:rsidR="00481646" w:rsidRPr="00E932B2">
        <w:rPr>
          <w:color w:val="000000" w:themeColor="text1"/>
        </w:rPr>
        <w:t>.  Glucon</w:t>
      </w:r>
      <w:r w:rsidR="00E932B2">
        <w:rPr>
          <w:color w:val="000000" w:themeColor="text1"/>
        </w:rPr>
        <w:t>ate as a carbon source increased</w:t>
      </w:r>
      <w:r w:rsidR="00481646" w:rsidRPr="00E932B2">
        <w:rPr>
          <w:color w:val="000000" w:themeColor="text1"/>
        </w:rPr>
        <w:t xml:space="preserve"> expression of the gtn and idn operons, both involved in gluconate metabolism </w:t>
      </w:r>
      <w:r w:rsidR="007E2476" w:rsidRPr="00E932B2">
        <w:rPr>
          <w:color w:val="000000" w:themeColor="text1"/>
        </w:rPr>
        <w:fldChar w:fldCharType="begin"/>
      </w:r>
      <w:r w:rsidR="007E2476" w:rsidRPr="00E932B2">
        <w:rPr>
          <w:color w:val="000000" w:themeColor="text1"/>
        </w:rPr>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rsidRPr="00E932B2">
        <w:rPr>
          <w:color w:val="000000" w:themeColor="text1"/>
        </w:rPr>
        <w:fldChar w:fldCharType="separate"/>
      </w:r>
      <w:r w:rsidR="007E2476" w:rsidRPr="00E932B2">
        <w:rPr>
          <w:noProof/>
          <w:color w:val="000000" w:themeColor="text1"/>
        </w:rPr>
        <w:t>(Fujita et al. 1986; Bausch et al. 1998)</w:t>
      </w:r>
      <w:r w:rsidR="007E2476" w:rsidRPr="00E932B2">
        <w:rPr>
          <w:color w:val="000000" w:themeColor="text1"/>
        </w:rPr>
        <w:fldChar w:fldCharType="end"/>
      </w:r>
      <w:r>
        <w:rPr>
          <w:color w:val="000000" w:themeColor="text1"/>
        </w:rPr>
        <w:t xml:space="preserve">. Finally, for both altered salt concentrations and altered </w:t>
      </w:r>
      <w:r w:rsidR="00481646" w:rsidRPr="00E932B2">
        <w:rPr>
          <w:color w:val="000000" w:themeColor="text1"/>
        </w:rPr>
        <w:t>carbon source</w:t>
      </w:r>
      <w:r>
        <w:rPr>
          <w:color w:val="000000" w:themeColor="text1"/>
        </w:rPr>
        <w:t xml:space="preserve">s </w:t>
      </w:r>
      <w:r w:rsidR="00E932B2">
        <w:rPr>
          <w:color w:val="000000" w:themeColor="text1"/>
        </w:rPr>
        <w:t xml:space="preserve">we saw differential expression in </w:t>
      </w:r>
      <w:r w:rsidR="00481646" w:rsidRPr="00E932B2">
        <w:rPr>
          <w:color w:val="000000" w:themeColor="text1"/>
        </w:rPr>
        <w:t>a nu</w:t>
      </w:r>
      <w:r>
        <w:rPr>
          <w:color w:val="000000" w:themeColor="text1"/>
        </w:rPr>
        <w:t>mber of genes involved in amino-</w:t>
      </w:r>
      <w:r w:rsidR="00481646" w:rsidRPr="00E932B2">
        <w:rPr>
          <w:color w:val="000000" w:themeColor="text1"/>
        </w:rPr>
        <w:t>acid and nucleotide biosynthesis, as well as genes encoding ribosomal proteins</w:t>
      </w:r>
      <w:r w:rsidR="00E932B2">
        <w:rPr>
          <w:color w:val="000000" w:themeColor="text1"/>
        </w:rPr>
        <w:t>. The</w:t>
      </w:r>
      <w:r w:rsidR="00481646" w:rsidRPr="00E932B2">
        <w:rPr>
          <w:color w:val="000000" w:themeColor="text1"/>
        </w:rPr>
        <w:t>s</w:t>
      </w:r>
      <w:r w:rsidR="00E932B2">
        <w:rPr>
          <w:color w:val="000000" w:themeColor="text1"/>
        </w:rPr>
        <w:t>e regulatory changes</w:t>
      </w:r>
      <w:r w:rsidR="00481646" w:rsidRPr="00E932B2">
        <w:rPr>
          <w:color w:val="000000" w:themeColor="text1"/>
        </w:rPr>
        <w:t xml:space="preserve"> may reflect the overall metab</w:t>
      </w:r>
      <w:r w:rsidR="00E932B2">
        <w:rPr>
          <w:color w:val="000000" w:themeColor="text1"/>
        </w:rPr>
        <w:t>olic activity of</w:t>
      </w:r>
      <w:r w:rsidR="00481646" w:rsidRPr="00E932B2">
        <w:rPr>
          <w:color w:val="000000" w:themeColor="text1"/>
        </w:rPr>
        <w:t xml:space="preserve"> </w:t>
      </w:r>
      <w:r w:rsidR="00481646" w:rsidRPr="00E932B2">
        <w:rPr>
          <w:i/>
          <w:color w:val="000000" w:themeColor="text1"/>
        </w:rPr>
        <w:t>E.</w:t>
      </w:r>
      <w:r w:rsidR="00E932B2">
        <w:rPr>
          <w:i/>
          <w:color w:val="000000" w:themeColor="text1"/>
        </w:rPr>
        <w:t xml:space="preserve"> </w:t>
      </w:r>
      <w:r w:rsidR="00481646" w:rsidRPr="00E932B2">
        <w:rPr>
          <w:i/>
          <w:color w:val="000000" w:themeColor="text1"/>
        </w:rPr>
        <w:t>coli</w:t>
      </w:r>
      <w:r w:rsidR="00E932B2">
        <w:rPr>
          <w:color w:val="000000" w:themeColor="text1"/>
        </w:rPr>
        <w:t xml:space="preserve">, and how the bacteria </w:t>
      </w:r>
      <w:r>
        <w:rPr>
          <w:color w:val="000000" w:themeColor="text1"/>
        </w:rPr>
        <w:t>generally respond</w:t>
      </w:r>
      <w:r w:rsidR="00481646" w:rsidRPr="00E932B2">
        <w:rPr>
          <w:color w:val="000000" w:themeColor="text1"/>
        </w:rPr>
        <w:t xml:space="preserve"> to more or less challenging conditions, rather than any specific induction caused by experimental conditions.</w:t>
      </w:r>
    </w:p>
    <w:p w14:paraId="1912EA1E" w14:textId="77777777" w:rsidR="00C90590" w:rsidRPr="00504F91" w:rsidRDefault="00C90590" w:rsidP="00776B56">
      <w:pPr>
        <w:tabs>
          <w:tab w:val="left" w:pos="3637"/>
        </w:tabs>
        <w:rPr>
          <w:color w:val="0000FF"/>
        </w:rPr>
      </w:pPr>
    </w:p>
    <w:p w14:paraId="05AC3D38" w14:textId="308367F6" w:rsidR="00C90590" w:rsidRPr="00504F91" w:rsidRDefault="00750FC0" w:rsidP="00C90590">
      <w:pPr>
        <w:tabs>
          <w:tab w:val="left" w:pos="3637"/>
        </w:tabs>
        <w:rPr>
          <w:color w:val="0000FF"/>
        </w:rPr>
      </w:pPr>
      <w:r w:rsidRPr="0036081D">
        <w:t>It is well known from large-scale</w:t>
      </w:r>
      <w:r w:rsidR="0036081D" w:rsidRPr="0036081D">
        <w:t>,</w:t>
      </w:r>
      <w:r w:rsidR="0036081D">
        <w:t xml:space="preserve"> high-throughput gene-expression studies that </w:t>
      </w:r>
      <w:r w:rsidR="005B6450">
        <w:t>measurements can be confounded by batch effects</w:t>
      </w:r>
      <w:r w:rsidR="00006B59">
        <w:t xml:space="preserve"> (</w:t>
      </w:r>
      <w:r w:rsidR="00006B59" w:rsidRPr="00006B59">
        <w:rPr>
          <w:highlight w:val="yellow"/>
        </w:rPr>
        <w:t>refs</w:t>
      </w:r>
      <w:r w:rsidR="00006B59">
        <w:t>)</w:t>
      </w:r>
      <w:r w:rsidR="0036081D">
        <w:rPr>
          <w:color w:val="0000FF"/>
        </w:rPr>
        <w:t xml:space="preserve"> </w:t>
      </w:r>
      <w:r>
        <w:rPr>
          <w:color w:val="0000FF"/>
        </w:rPr>
        <w:t xml:space="preserve"> </w:t>
      </w:r>
      <w:r w:rsidR="00C90590" w:rsidRPr="00504F91">
        <w:rPr>
          <w:color w:val="0000FF"/>
        </w:rPr>
        <w:t xml:space="preserve">A third problem is the batch effects; the experiments were done in a large time intervals and in different laboratories if there are some affects that are related with these uncontrolled variables it is hard to fix them since batches also correlated with experiments. The batch effect for </w:t>
      </w:r>
      <w:r w:rsidR="00AF37CE" w:rsidRPr="00504F91">
        <w:rPr>
          <w:color w:val="0000FF"/>
        </w:rPr>
        <w:t xml:space="preserve">mRNA and proteins are both significant with z scores of </w:t>
      </w:r>
      <w:r w:rsidR="0027166C" w:rsidRPr="00504F91">
        <w:rPr>
          <w:color w:val="0000FF"/>
        </w:rPr>
        <w:t>−</w:t>
      </w:r>
      <w:r w:rsidR="003B6152" w:rsidRPr="00504F91">
        <w:rPr>
          <w:color w:val="0000FF"/>
        </w:rPr>
        <w:t xml:space="preserve">2.82 and </w:t>
      </w:r>
      <w:r w:rsidR="0027166C" w:rsidRPr="00504F91">
        <w:rPr>
          <w:color w:val="0000FF"/>
        </w:rPr>
        <w:t>−</w:t>
      </w:r>
      <w:r w:rsidR="003B6152" w:rsidRPr="00504F91">
        <w:rPr>
          <w:color w:val="0000FF"/>
        </w:rPr>
        <w:t>23.39 respectively.</w:t>
      </w:r>
      <w:r w:rsidR="00EB18D9" w:rsidRPr="00504F91">
        <w:rPr>
          <w:color w:val="0000FF"/>
        </w:rPr>
        <w:t xml:space="preserve"> There are plenty of methods pre or post computational discussed associated w</w:t>
      </w:r>
      <w:r w:rsidR="009E12B3" w:rsidRPr="00504F91">
        <w:rPr>
          <w:color w:val="0000FF"/>
        </w:rPr>
        <w:t>ith reducing the batch effects</w:t>
      </w:r>
      <w:r w:rsidR="00EB18D9" w:rsidRPr="00504F91">
        <w:rPr>
          <w:color w:val="0000FF"/>
        </w:rPr>
        <w:t xml:space="preserve">. One of the recent studies discuss multiple methods related with removing batch effects </w:t>
      </w:r>
      <w:r w:rsidR="009E12B3" w:rsidRPr="00504F91">
        <w:rPr>
          <w:color w:val="0000FF"/>
        </w:rPr>
        <w:fldChar w:fldCharType="begin"/>
      </w:r>
      <w:r w:rsidR="009E12B3" w:rsidRPr="00504F91">
        <w:rPr>
          <w:color w:val="0000FF"/>
        </w:rPr>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504F91">
        <w:rPr>
          <w:color w:val="0000FF"/>
        </w:rPr>
        <w:fldChar w:fldCharType="separate"/>
      </w:r>
      <w:r w:rsidR="009E12B3" w:rsidRPr="00504F91">
        <w:rPr>
          <w:noProof/>
          <w:color w:val="0000FF"/>
        </w:rPr>
        <w:t>(Kim, Zorraquino, and Tagkopoulos 2015)</w:t>
      </w:r>
      <w:r w:rsidR="009E12B3" w:rsidRPr="00504F91">
        <w:rPr>
          <w:color w:val="0000FF"/>
        </w:rPr>
        <w:fldChar w:fldCharType="end"/>
      </w:r>
      <w:r w:rsidR="009E12B3" w:rsidRPr="00504F91">
        <w:rPr>
          <w:color w:val="0000FF"/>
        </w:rPr>
        <w:t>, where they generate an iterative machine learning algorithm to cope with batch effects.</w:t>
      </w:r>
    </w:p>
    <w:p w14:paraId="6E342B66" w14:textId="77777777" w:rsidR="00776B56" w:rsidRPr="00504F91" w:rsidRDefault="00776B56" w:rsidP="00776B56">
      <w:pPr>
        <w:tabs>
          <w:tab w:val="left" w:pos="3637"/>
        </w:tabs>
        <w:rPr>
          <w:color w:val="0000FF"/>
        </w:rPr>
      </w:pPr>
    </w:p>
    <w:p w14:paraId="5DC1ACA2" w14:textId="68553565" w:rsidR="006E46BD" w:rsidRPr="00504F91" w:rsidRDefault="006368CC" w:rsidP="004F79A2">
      <w:pPr>
        <w:rPr>
          <w:color w:val="0000FF"/>
        </w:rPr>
      </w:pPr>
      <w:r w:rsidRPr="00504F91">
        <w:rPr>
          <w:color w:val="0000FF"/>
        </w:rPr>
        <w:t xml:space="preserve">In </w:t>
      </w:r>
      <w:r w:rsidR="001C2662" w:rsidRPr="00504F91">
        <w:rPr>
          <w:color w:val="0000FF"/>
        </w:rPr>
        <w:t>summary</w:t>
      </w:r>
      <w:r w:rsidRPr="00504F91">
        <w:rPr>
          <w:color w:val="0000FF"/>
        </w:rPr>
        <w:t>,</w:t>
      </w:r>
      <w:r w:rsidR="001C2662" w:rsidRPr="00504F91">
        <w:rPr>
          <w:color w:val="0000FF"/>
        </w:rPr>
        <w:t xml:space="preserve"> our study provides a large</w:t>
      </w:r>
      <w:r w:rsidRPr="00504F91">
        <w:rPr>
          <w:color w:val="0000FF"/>
        </w:rPr>
        <w:t xml:space="preserve"> and comprehensive data set </w:t>
      </w:r>
      <w:r w:rsidR="001C2662" w:rsidRPr="00504F91">
        <w:rPr>
          <w:color w:val="0000FF"/>
        </w:rPr>
        <w:t>investigat</w:t>
      </w:r>
      <w:r w:rsidRPr="00504F91">
        <w:rPr>
          <w:color w:val="0000FF"/>
        </w:rPr>
        <w:t>ing the gene-regulatory response</w:t>
      </w:r>
      <w:r w:rsidR="003067F7" w:rsidRPr="00504F91">
        <w:rPr>
          <w:color w:val="0000FF"/>
        </w:rPr>
        <w:t xml:space="preserve"> of </w:t>
      </w:r>
      <w:r w:rsidR="003067F7" w:rsidRPr="00504F91">
        <w:rPr>
          <w:i/>
          <w:color w:val="0000FF"/>
        </w:rPr>
        <w:t xml:space="preserve">E. </w:t>
      </w:r>
      <w:r w:rsidR="001C2662" w:rsidRPr="00504F91">
        <w:rPr>
          <w:i/>
          <w:color w:val="0000FF"/>
        </w:rPr>
        <w:t>coli</w:t>
      </w:r>
      <w:r w:rsidR="001C2662" w:rsidRPr="00504F91">
        <w:rPr>
          <w:color w:val="0000FF"/>
        </w:rPr>
        <w:t xml:space="preserve"> under different </w:t>
      </w:r>
      <w:r w:rsidRPr="00504F91">
        <w:rPr>
          <w:color w:val="0000FF"/>
        </w:rPr>
        <w:t xml:space="preserve">growth </w:t>
      </w:r>
      <w:r w:rsidR="001C2662" w:rsidRPr="00504F91">
        <w:rPr>
          <w:color w:val="0000FF"/>
        </w:rPr>
        <w:t xml:space="preserve">conditions, </w:t>
      </w:r>
      <w:r w:rsidRPr="00504F91">
        <w:rPr>
          <w:color w:val="0000FF"/>
        </w:rPr>
        <w:t xml:space="preserve">both at the mRNA and the protein level. We have found systematic differences in gene-expression response between exponential and stationary phase, and between mRNAs and proteins. We believe that our data set provides a rich resource for future modeling of the </w:t>
      </w:r>
      <w:r w:rsidRPr="00504F91">
        <w:rPr>
          <w:i/>
          <w:color w:val="0000FF"/>
        </w:rPr>
        <w:t xml:space="preserve">E. coli </w:t>
      </w:r>
      <w:r w:rsidRPr="00504F91">
        <w:rPr>
          <w:color w:val="0000FF"/>
        </w:rPr>
        <w:t>metabolism.</w:t>
      </w:r>
    </w:p>
    <w:p w14:paraId="3F5AF01E" w14:textId="77777777" w:rsidR="0073706D" w:rsidRDefault="0073706D" w:rsidP="0073706D">
      <w:pPr>
        <w:pStyle w:val="Heading2"/>
      </w:pPr>
      <w:r w:rsidRPr="005B5BAD">
        <w:t>Materials and Methods</w:t>
      </w:r>
    </w:p>
    <w:p w14:paraId="4F4C97E7" w14:textId="30AEB371" w:rsidR="00E41A2F" w:rsidRPr="00DF1367" w:rsidRDefault="00E41A2F" w:rsidP="00E41A2F">
      <w:pPr>
        <w:pStyle w:val="Heading3"/>
      </w:pPr>
      <w:r w:rsidRPr="00DF1367">
        <w:t>Cell Growth</w:t>
      </w:r>
      <w:r w:rsidR="000D74E5">
        <w:t>, RNA seq, and proteomics</w:t>
      </w:r>
      <w:r w:rsidRPr="00DF1367">
        <w:t xml:space="preserve"> </w:t>
      </w:r>
    </w:p>
    <w:p w14:paraId="486C63D7" w14:textId="77777777" w:rsidR="00E41A2F" w:rsidRPr="00DF1367" w:rsidRDefault="00E41A2F" w:rsidP="00E41A2F"/>
    <w:p w14:paraId="4AE4A657" w14:textId="7DE73C7E"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t xml:space="preserve"> </w:t>
      </w:r>
      <w:r w:rsidR="000D74E5">
        <w:fldChar w:fldCharType="begin"/>
      </w:r>
      <w:r w:rsidR="000D74E5">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0D74E5">
        <w:rPr>
          <w:noProof/>
        </w:rPr>
        <w:t>(Houser et al. 2015)</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t>
      </w:r>
      <w:r>
        <w:lastRenderedPageBreak/>
        <w:t>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38660B36" w:rsidR="002620FC" w:rsidRDefault="002620FC" w:rsidP="00F64495">
      <w:r>
        <w:t xml:space="preserve">After sample collection, RNA seq and mass-spec proteomics were performed exactly as described in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w:t>
      </w:r>
    </w:p>
    <w:p w14:paraId="3DC8EE49" w14:textId="77777777" w:rsidR="00F64495" w:rsidRPr="00F64495" w:rsidRDefault="00F64495" w:rsidP="00F64495"/>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43BA17C3" w14:textId="2DB8D6C7" w:rsidR="00F64495" w:rsidRDefault="00EC08C2" w:rsidP="0073706D">
      <w:r>
        <w:t xml:space="preserve">Our </w:t>
      </w:r>
      <w:r w:rsidR="00F64495">
        <w:t>raw input data consisted of RNA 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223E2434"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 xml:space="preserve">If a sample consistently shows deviations from this expectation when compared to other samples, then there are likely systematic problems with this sample, and we excluded all such samples. In total, we excluded </w:t>
      </w:r>
      <w:r w:rsidR="00E2605C" w:rsidRPr="00E2605C">
        <w:rPr>
          <w:highlight w:val="yellow"/>
        </w:rPr>
        <w:t>XXX</w:t>
      </w:r>
      <w:r w:rsidR="00E2605C">
        <w:t xml:space="preserve"> samples.</w:t>
      </w:r>
      <w:r w:rsidR="00142373">
        <w:t xml:space="preserve"> </w:t>
      </w:r>
      <w:r w:rsidR="00E2605C">
        <w:t>(</w:t>
      </w:r>
      <w:r w:rsidR="00E2605C" w:rsidRPr="00E2605C">
        <w:rPr>
          <w:highlight w:val="yellow"/>
        </w:rPr>
        <w:t>Is Fig. 1 before or after samples have been excluded?</w:t>
      </w:r>
      <w:r w:rsidR="00E2605C">
        <w:t>)</w:t>
      </w:r>
    </w:p>
    <w:p w14:paraId="5F3AB79A" w14:textId="77777777" w:rsidR="00810B87" w:rsidRDefault="00810B87" w:rsidP="0073706D"/>
    <w:p w14:paraId="1FCC0808" w14:textId="5A79C48E" w:rsidR="00810B87" w:rsidRDefault="00810B87" w:rsidP="00810B87">
      <w:r>
        <w:t xml:space="preserve">After </w:t>
      </w:r>
      <w:r w:rsidR="00E2605C">
        <w:t>quality control, we normalized read counts using size-factors calculated via DeSeq (</w:t>
      </w:r>
      <w:r w:rsidR="00E2605C" w:rsidRPr="00E2605C">
        <w:rPr>
          <w:highlight w:val="yellow"/>
        </w:rPr>
        <w:t>reference</w:t>
      </w:r>
      <w:r w:rsidR="00E2605C">
        <w:t>). Because we had many RNAs and proteins with counts of zero at some condition, we added pseudo-counts of +1 to all counts before calculating size factors. However, we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7777777" w:rsidR="00ED7890" w:rsidRDefault="00ED7890" w:rsidP="00D30269">
      <w:r>
        <w:t xml:space="preserve">We clustered normalized counts based on their Eucledian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A2A88FB" w14:textId="2CD5E35F" w:rsidR="00311BC1" w:rsidRDefault="00311BC1" w:rsidP="00311BC1">
      <w:pPr>
        <w:pStyle w:val="Heading3"/>
      </w:pPr>
      <w:r>
        <w:t xml:space="preserve">Quantification of cell response </w:t>
      </w:r>
    </w:p>
    <w:p w14:paraId="2D19E9D8" w14:textId="77777777" w:rsidR="00311BC1" w:rsidRDefault="00311BC1" w:rsidP="00D30269"/>
    <w:p w14:paraId="3B1FB373" w14:textId="77777777" w:rsidR="00311BC1" w:rsidRPr="002D55DA" w:rsidRDefault="00311BC1" w:rsidP="00311BC1">
      <w:pPr>
        <w:rPr>
          <w:color w:val="0000FF"/>
        </w:rPr>
      </w:pPr>
      <w:r w:rsidRPr="002D55DA">
        <w:rPr>
          <w:color w:val="0000FF"/>
        </w:rPr>
        <w:t>The determination of differentially expressed mRNA and proteins contains a process that can be determined in multiple steps.</w:t>
      </w:r>
    </w:p>
    <w:p w14:paraId="4A341918" w14:textId="77777777" w:rsidR="00311BC1" w:rsidRPr="002D55DA" w:rsidRDefault="00311BC1" w:rsidP="00311BC1">
      <w:pPr>
        <w:rPr>
          <w:color w:val="0000FF"/>
        </w:rPr>
      </w:pPr>
    </w:p>
    <w:p w14:paraId="4BB39126" w14:textId="18CEE380" w:rsidR="00311BC1" w:rsidRPr="002D55DA" w:rsidRDefault="00311BC1" w:rsidP="00311BC1">
      <w:pPr>
        <w:rPr>
          <w:color w:val="0000FF"/>
        </w:rPr>
      </w:pPr>
      <w:r w:rsidRPr="002D55DA">
        <w:rPr>
          <w:color w:val="0000FF"/>
        </w:rPr>
        <w:t xml:space="preserve">Firstly we filter out the samples that biological replicates are not poses </w:t>
      </w:r>
      <w:r w:rsidR="00673748" w:rsidRPr="002D55DA">
        <w:rPr>
          <w:color w:val="0000FF"/>
        </w:rPr>
        <w:t>similar</w:t>
      </w:r>
      <w:r w:rsidRPr="002D55DA">
        <w:rPr>
          <w:color w:val="0000FF"/>
        </w:rPr>
        <w:t xml:space="preserve"> distributions with in each other and sum all the technical replicates to generate one sample, which is the suggested way to handle technical replicates in DeSeq2 </w:t>
      </w:r>
      <w:r w:rsidRPr="002D55DA">
        <w:rPr>
          <w:color w:val="0000FF"/>
          <w:highlight w:val="yellow"/>
        </w:rPr>
        <w:t>[ref]</w:t>
      </w:r>
      <w:r w:rsidRPr="002D55DA">
        <w:rPr>
          <w:color w:val="0000FF"/>
        </w:rPr>
        <w:t>. The next step is to filter out the unnecessary conditions from the data file. For example if we are trying to figure out the affects of high Mg</w:t>
      </w:r>
      <w:r w:rsidR="0014521F" w:rsidRPr="002D55DA">
        <w:rPr>
          <w:color w:val="0000FF"/>
          <w:vertAlign w:val="superscript"/>
        </w:rPr>
        <w:t>+2</w:t>
      </w:r>
      <w:r w:rsidRPr="002D55DA">
        <w:rPr>
          <w:color w:val="0000FF"/>
        </w:rPr>
        <w:t xml:space="preserve"> on </w:t>
      </w:r>
      <w:r w:rsidR="00B72654" w:rsidRPr="002D55DA">
        <w:rPr>
          <w:i/>
          <w:color w:val="0000FF"/>
        </w:rPr>
        <w:t>E.</w:t>
      </w:r>
      <w:r w:rsidR="00E077A7" w:rsidRPr="002D55DA">
        <w:rPr>
          <w:i/>
          <w:color w:val="0000FF"/>
        </w:rPr>
        <w:t xml:space="preserve"> </w:t>
      </w:r>
      <w:r w:rsidR="00B72654" w:rsidRPr="002D55DA">
        <w:rPr>
          <w:i/>
          <w:color w:val="0000FF"/>
        </w:rPr>
        <w:t>c</w:t>
      </w:r>
      <w:r w:rsidRPr="002D55DA">
        <w:rPr>
          <w:i/>
          <w:color w:val="0000FF"/>
        </w:rPr>
        <w:t>oli</w:t>
      </w:r>
      <w:r w:rsidRPr="002D55DA">
        <w:rPr>
          <w:color w:val="0000FF"/>
        </w:rPr>
        <w:t xml:space="preserve"> in exponential phase we first pick the samples that only have glucose as carbon source, Na levels are equal to 0.8mM (base value), and pick the base and high Mg samples in exponential phase. We do not apply any filtering on specific mRNAs or proteins based on raw counts. </w:t>
      </w:r>
    </w:p>
    <w:p w14:paraId="42D43A11" w14:textId="77777777" w:rsidR="00311BC1" w:rsidRPr="002D55DA" w:rsidRDefault="00311BC1" w:rsidP="00311BC1">
      <w:pPr>
        <w:rPr>
          <w:color w:val="0000FF"/>
        </w:rPr>
      </w:pPr>
    </w:p>
    <w:p w14:paraId="62C48127" w14:textId="77777777" w:rsidR="00311BC1" w:rsidRPr="002D55DA" w:rsidRDefault="00311BC1" w:rsidP="00311BC1">
      <w:pPr>
        <w:rPr>
          <w:color w:val="0000FF"/>
        </w:rPr>
      </w:pPr>
      <w:r w:rsidRPr="002D55DA">
        <w:rPr>
          <w:color w:val="0000FF"/>
        </w:rPr>
        <w:t>Then we apply DeSeq2 to calculate the size factors for samples in order to get rid of the affects of search depth inequalities. While calculating size factors we add "+1" to all samples to get non-zero results for the mRNAs and proteins that have at least one zero read.</w:t>
      </w:r>
    </w:p>
    <w:p w14:paraId="279BB359" w14:textId="77777777" w:rsidR="00311BC1" w:rsidRPr="002D55DA" w:rsidRDefault="00311BC1" w:rsidP="00311BC1">
      <w:pPr>
        <w:rPr>
          <w:color w:val="0000FF"/>
        </w:rPr>
      </w:pPr>
    </w:p>
    <w:p w14:paraId="562CC734" w14:textId="5F75FEF0" w:rsidR="00311BC1" w:rsidRPr="002D55DA" w:rsidRDefault="00311BC1" w:rsidP="00311BC1">
      <w:pPr>
        <w:rPr>
          <w:color w:val="0000FF"/>
        </w:rPr>
      </w:pPr>
      <w:r w:rsidRPr="002D55DA">
        <w:rPr>
          <w:color w:val="0000FF"/>
        </w:rPr>
        <w:t xml:space="preserve">After finishing the DeSeq2 procedure we have log 2 fold change and adjusted p values for individual mRNAs and proteins. Picking up the samples based on </w:t>
      </w:r>
      <w:r w:rsidRPr="002D55DA">
        <w:rPr>
          <w:i/>
          <w:color w:val="0000FF"/>
        </w:rPr>
        <w:t>P'&lt;0.05</w:t>
      </w:r>
      <w:r w:rsidRPr="002D55DA">
        <w:rPr>
          <w:color w:val="0000FF"/>
        </w:rPr>
        <w:t xml:space="preserve"> and </w:t>
      </w:r>
      <w:r w:rsidRPr="002D55DA">
        <w:rPr>
          <w:i/>
          <w:color w:val="0000FF"/>
        </w:rPr>
        <w:t>log2 fold change &gt;2</w:t>
      </w:r>
      <w:r w:rsidRPr="002D55DA">
        <w:rPr>
          <w:color w:val="0000FF"/>
        </w:rPr>
        <w:t xml:space="preserve"> we end up with lists of mRNAs and proteins which responds to external change significantly. We use these lists and send them to the database for annotation, visualization and integr</w:t>
      </w:r>
      <w:r w:rsidR="00AE3110" w:rsidRPr="002D55DA">
        <w:rPr>
          <w:color w:val="0000FF"/>
        </w:rPr>
        <w:t xml:space="preserve">ated discovery tool (DAVID) </w:t>
      </w:r>
      <w:r w:rsidR="00385FA0" w:rsidRPr="002D55DA">
        <w:rPr>
          <w:color w:val="0000FF"/>
        </w:rPr>
        <w:fldChar w:fldCharType="begin"/>
      </w:r>
      <w:r w:rsidR="00385FA0" w:rsidRPr="002D55DA">
        <w:rPr>
          <w:color w:val="0000FF"/>
        </w:rPr>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385FA0" w:rsidRPr="002D55DA">
        <w:rPr>
          <w:color w:val="0000FF"/>
        </w:rPr>
        <w:fldChar w:fldCharType="separate"/>
      </w:r>
      <w:r w:rsidR="00385FA0" w:rsidRPr="002D55DA">
        <w:rPr>
          <w:noProof/>
          <w:color w:val="0000FF"/>
        </w:rPr>
        <w:t>(Huang, Sherman, and Lempicki 2008)</w:t>
      </w:r>
      <w:r w:rsidR="00385FA0" w:rsidRPr="002D55DA">
        <w:rPr>
          <w:color w:val="0000FF"/>
        </w:rPr>
        <w:fldChar w:fldCharType="end"/>
      </w:r>
      <w:r w:rsidR="00385FA0" w:rsidRPr="002D55DA">
        <w:rPr>
          <w:color w:val="0000FF"/>
        </w:rPr>
        <w:t xml:space="preserve"> </w:t>
      </w:r>
      <w:r w:rsidRPr="002D55DA">
        <w:rPr>
          <w:color w:val="0000FF"/>
        </w:rPr>
        <w:t>and look for results related with KEGG pathways</w:t>
      </w:r>
      <w:r w:rsidR="00EE1837" w:rsidRPr="002D55DA">
        <w:rPr>
          <w:color w:val="0000FF"/>
        </w:rPr>
        <w:t xml:space="preserve"> </w:t>
      </w:r>
      <w:r w:rsidR="00EE1837" w:rsidRPr="002D55DA">
        <w:rPr>
          <w:color w:val="0000FF"/>
        </w:rPr>
        <w:fldChar w:fldCharType="begin"/>
      </w:r>
      <w:r w:rsidR="00EE1837" w:rsidRPr="002D55DA">
        <w:rPr>
          <w:color w:val="0000FF"/>
        </w:rPr>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EE1837" w:rsidRPr="002D55DA">
        <w:rPr>
          <w:color w:val="0000FF"/>
        </w:rPr>
        <w:fldChar w:fldCharType="separate"/>
      </w:r>
      <w:r w:rsidR="00EE1837" w:rsidRPr="002D55DA">
        <w:rPr>
          <w:noProof/>
          <w:color w:val="0000FF"/>
        </w:rPr>
        <w:t>(Kanehisa and Goto 2000)</w:t>
      </w:r>
      <w:r w:rsidR="00EE1837" w:rsidRPr="002D55DA">
        <w:rPr>
          <w:color w:val="0000FF"/>
        </w:rPr>
        <w:fldChar w:fldCharType="end"/>
      </w:r>
      <w:r w:rsidRPr="002D55DA">
        <w:rPr>
          <w:color w:val="0000FF"/>
        </w:rPr>
        <w:t xml:space="preserve"> and molecular funct</w:t>
      </w:r>
      <w:r w:rsidR="00EE1837" w:rsidRPr="002D55DA">
        <w:rPr>
          <w:color w:val="0000FF"/>
        </w:rPr>
        <w:t xml:space="preserve">ion related GO annotations </w:t>
      </w:r>
      <w:r w:rsidR="00EE1837" w:rsidRPr="002D55DA">
        <w:rPr>
          <w:color w:val="0000FF"/>
        </w:rPr>
        <w:fldChar w:fldCharType="begin"/>
      </w:r>
      <w:r w:rsidR="009473E8" w:rsidRPr="002D55DA">
        <w:rPr>
          <w:color w:val="0000FF"/>
        </w:rPr>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EE1837" w:rsidRPr="002D55DA">
        <w:rPr>
          <w:color w:val="0000FF"/>
        </w:rPr>
        <w:fldChar w:fldCharType="separate"/>
      </w:r>
      <w:r w:rsidR="009473E8" w:rsidRPr="002D55DA">
        <w:rPr>
          <w:noProof/>
          <w:color w:val="0000FF"/>
        </w:rPr>
        <w:t>(Ashburner et al. 2000)</w:t>
      </w:r>
      <w:r w:rsidR="00EE1837" w:rsidRPr="002D55DA">
        <w:rPr>
          <w:color w:val="0000FF"/>
        </w:rPr>
        <w:fldChar w:fldCharType="end"/>
      </w:r>
      <w:r w:rsidRPr="002D55DA">
        <w:rPr>
          <w:color w:val="0000FF"/>
        </w:rPr>
        <w:t>.</w:t>
      </w:r>
    </w:p>
    <w:p w14:paraId="518266B9" w14:textId="4B58A005" w:rsidR="00315216" w:rsidRDefault="00315216" w:rsidP="00315216"/>
    <w:p w14:paraId="12ABACBD" w14:textId="77777777" w:rsidR="00315216" w:rsidRDefault="00315216" w:rsidP="00315216"/>
    <w:p w14:paraId="5F0E86DB" w14:textId="2D509A84" w:rsidR="00315216" w:rsidRPr="00315216" w:rsidRDefault="00315216" w:rsidP="00315216">
      <w:pPr>
        <w:pStyle w:val="Heading2"/>
      </w:pPr>
      <w:r>
        <w:t>References</w:t>
      </w:r>
    </w:p>
    <w:p w14:paraId="243B2AFA" w14:textId="77777777" w:rsidR="000D74E5" w:rsidRPr="000D74E5" w:rsidRDefault="00FD014C" w:rsidP="000D74E5">
      <w:pPr>
        <w:pStyle w:val="Bibliography"/>
        <w:rPr>
          <w:rFonts w:ascii="Calibri"/>
        </w:rPr>
      </w:pPr>
      <w:r>
        <w:fldChar w:fldCharType="begin"/>
      </w:r>
      <w:r w:rsidR="00CA5118">
        <w:instrText xml:space="preserve"> ADDIN ZOTERO_BIBL {"custom":[]} CSL_BIBLIOGRAPHY </w:instrText>
      </w:r>
      <w:r>
        <w:fldChar w:fldCharType="separate"/>
      </w:r>
      <w:r w:rsidR="000D74E5" w:rsidRPr="000D74E5">
        <w:rPr>
          <w:rFonts w:ascii="Calibri"/>
        </w:rPr>
        <w:t xml:space="preserve">Anders, Simon, Paul Theodor Pyl, and Wolfgang Huber. 2015. “HTSeq--a Python Framework to Work with High-Throughput Sequencing Data.” </w:t>
      </w:r>
      <w:r w:rsidR="000D74E5" w:rsidRPr="000D74E5">
        <w:rPr>
          <w:rFonts w:ascii="Calibri"/>
          <w:i/>
          <w:iCs/>
        </w:rPr>
        <w:t>Bioinformatics (Oxford, England)</w:t>
      </w:r>
      <w:r w:rsidR="000D74E5" w:rsidRPr="000D74E5">
        <w:rPr>
          <w:rFonts w:ascii="Calibri"/>
        </w:rPr>
        <w:t xml:space="preserve"> 31 (2): 166–69. doi:10.1093/bioinformatics/btu638.</w:t>
      </w:r>
    </w:p>
    <w:p w14:paraId="0CEC8BD8" w14:textId="77777777" w:rsidR="000D74E5" w:rsidRPr="000D74E5" w:rsidRDefault="000D74E5" w:rsidP="000D74E5">
      <w:pPr>
        <w:pStyle w:val="Bibliography"/>
        <w:rPr>
          <w:rFonts w:ascii="Calibri"/>
        </w:rPr>
      </w:pPr>
      <w:r w:rsidRPr="000D74E5">
        <w:rPr>
          <w:rFonts w:ascii="Calibri"/>
        </w:rPr>
        <w:t xml:space="preserve">Ashburner, Michael, Catherine A. Ball, Judith A. Blake, David Botstein, Heather Butler, J. Michael Cherry, Allan P. Davis, et al. 2000. “Gene Ontology: Tool for the Unification of Biology.” </w:t>
      </w:r>
      <w:r w:rsidRPr="000D74E5">
        <w:rPr>
          <w:rFonts w:ascii="Calibri"/>
          <w:i/>
          <w:iCs/>
        </w:rPr>
        <w:t>Nature Genetics</w:t>
      </w:r>
      <w:r w:rsidRPr="000D74E5">
        <w:rPr>
          <w:rFonts w:ascii="Calibri"/>
        </w:rPr>
        <w:t xml:space="preserve"> 25 (1): 25–29. doi:10.1038/75556.</w:t>
      </w:r>
    </w:p>
    <w:p w14:paraId="69BD9AD5" w14:textId="77777777" w:rsidR="000D74E5" w:rsidRPr="000D74E5" w:rsidRDefault="000D74E5" w:rsidP="000D74E5">
      <w:pPr>
        <w:pStyle w:val="Bibliography"/>
        <w:rPr>
          <w:rFonts w:ascii="Calibri"/>
        </w:rPr>
      </w:pPr>
      <w:r w:rsidRPr="000D74E5">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0D74E5">
        <w:rPr>
          <w:rFonts w:ascii="Calibri"/>
          <w:i/>
          <w:iCs/>
        </w:rPr>
        <w:t>Journal of Bacteriology</w:t>
      </w:r>
      <w:r w:rsidRPr="000D74E5">
        <w:rPr>
          <w:rFonts w:ascii="Calibri"/>
        </w:rPr>
        <w:t xml:space="preserve"> 180 (14): 3704–10.</w:t>
      </w:r>
    </w:p>
    <w:p w14:paraId="29E9D484" w14:textId="77777777" w:rsidR="000D74E5" w:rsidRPr="000D74E5" w:rsidRDefault="000D74E5" w:rsidP="000D74E5">
      <w:pPr>
        <w:pStyle w:val="Bibliography"/>
        <w:rPr>
          <w:rFonts w:ascii="Calibri"/>
        </w:rPr>
      </w:pPr>
      <w:r w:rsidRPr="000D74E5">
        <w:rPr>
          <w:rFonts w:ascii="Calibri"/>
        </w:rPr>
        <w:t xml:space="preserve">Blattner, Frederick R., Guy Plunkett, Craig A. Bloch, Nicole T. Perna, Valerie Burland, Monica Riley, Julio Collado-Vides, et al. 1997. “The Complete Genome Sequence of Escherichia Coli K-12.” </w:t>
      </w:r>
      <w:r w:rsidRPr="000D74E5">
        <w:rPr>
          <w:rFonts w:ascii="Calibri"/>
          <w:i/>
          <w:iCs/>
        </w:rPr>
        <w:t>Science</w:t>
      </w:r>
      <w:r w:rsidRPr="000D74E5">
        <w:rPr>
          <w:rFonts w:ascii="Calibri"/>
        </w:rPr>
        <w:t xml:space="preserve"> 277 (5331): 1453–62. doi:10.1126/science.277.5331.1453.</w:t>
      </w:r>
    </w:p>
    <w:p w14:paraId="0A8A9E74" w14:textId="77777777" w:rsidR="000D74E5" w:rsidRPr="000D74E5" w:rsidRDefault="000D74E5" w:rsidP="000D74E5">
      <w:pPr>
        <w:pStyle w:val="Bibliography"/>
        <w:rPr>
          <w:rFonts w:ascii="Calibri"/>
        </w:rPr>
      </w:pPr>
      <w:r w:rsidRPr="000D74E5">
        <w:rPr>
          <w:rFonts w:ascii="Calibri"/>
        </w:rPr>
        <w:t xml:space="preserve">Botstein, David, and Neil Risch. 2003. “Discovering Genotypes Underlying Human Phenotypes: Past Successes for Mendelian Disease, Future Approaches for Complex Disease.” </w:t>
      </w:r>
      <w:r w:rsidRPr="000D74E5">
        <w:rPr>
          <w:rFonts w:ascii="Calibri"/>
          <w:i/>
          <w:iCs/>
        </w:rPr>
        <w:t>Nature Genetics</w:t>
      </w:r>
      <w:r w:rsidRPr="000D74E5">
        <w:rPr>
          <w:rFonts w:ascii="Calibri"/>
        </w:rPr>
        <w:t xml:space="preserve"> 33 (March): 228–37. doi:10.1038/ng1090.</w:t>
      </w:r>
    </w:p>
    <w:p w14:paraId="02ED7B19" w14:textId="77777777" w:rsidR="000D74E5" w:rsidRPr="000D74E5" w:rsidRDefault="000D74E5" w:rsidP="000D74E5">
      <w:pPr>
        <w:pStyle w:val="Bibliography"/>
        <w:rPr>
          <w:rFonts w:ascii="Calibri"/>
        </w:rPr>
      </w:pPr>
      <w:r w:rsidRPr="000D74E5">
        <w:rPr>
          <w:rFonts w:ascii="Calibri"/>
        </w:rPr>
        <w:t xml:space="preserve">Burge, Sarah W., Jennifer Daub, Ruth Eberhardt, John Tate, Lars Barquist, Eric P. Nawrocki, Sean R. Eddy, Paul P. Gardner, and Alex Bateman. 2013. “Rfam 11.0: 10 Years of RNA Families.” </w:t>
      </w:r>
      <w:r w:rsidRPr="000D74E5">
        <w:rPr>
          <w:rFonts w:ascii="Calibri"/>
          <w:i/>
          <w:iCs/>
        </w:rPr>
        <w:t>Nucleic Acids Research</w:t>
      </w:r>
      <w:r w:rsidRPr="000D74E5">
        <w:rPr>
          <w:rFonts w:ascii="Calibri"/>
        </w:rPr>
        <w:t xml:space="preserve"> 41 (Database issue): D226–32. doi:10.1093/nar/gks1005.</w:t>
      </w:r>
    </w:p>
    <w:p w14:paraId="6B980EF9" w14:textId="77777777" w:rsidR="000D74E5" w:rsidRPr="000D74E5" w:rsidRDefault="000D74E5" w:rsidP="000D74E5">
      <w:pPr>
        <w:pStyle w:val="Bibliography"/>
        <w:rPr>
          <w:rFonts w:ascii="Calibri"/>
        </w:rPr>
      </w:pPr>
      <w:r w:rsidRPr="000D74E5">
        <w:rPr>
          <w:rFonts w:ascii="Calibri"/>
        </w:rPr>
        <w:t xml:space="preserve">Dodt, Matthias, Johannes T. Roehr, Rina Ahmed, and Christoph Dieterich. 2012. “FLEXBAR—Flexible Barcode and Adapter Processing for Next-Generation Sequencing Platforms.” </w:t>
      </w:r>
      <w:r w:rsidRPr="000D74E5">
        <w:rPr>
          <w:rFonts w:ascii="Calibri"/>
          <w:i/>
          <w:iCs/>
        </w:rPr>
        <w:t>Biology</w:t>
      </w:r>
      <w:r w:rsidRPr="000D74E5">
        <w:rPr>
          <w:rFonts w:ascii="Calibri"/>
        </w:rPr>
        <w:t xml:space="preserve"> 1 (3): 895–905. doi:10.3390/biology1030895.</w:t>
      </w:r>
    </w:p>
    <w:p w14:paraId="43835CB2" w14:textId="77777777" w:rsidR="000D74E5" w:rsidRPr="000D74E5" w:rsidRDefault="000D74E5" w:rsidP="000D74E5">
      <w:pPr>
        <w:pStyle w:val="Bibliography"/>
        <w:rPr>
          <w:rFonts w:ascii="Calibri"/>
        </w:rPr>
      </w:pPr>
      <w:r w:rsidRPr="000D74E5">
        <w:rPr>
          <w:rFonts w:ascii="Calibri"/>
        </w:rPr>
        <w:t xml:space="preserve">Fujita, Y., T. Fujita, Y. Miwa, J. Nihashi, and Y. Aratani. 1986. “Organization and Transcription of the Gluconate Operon, Gnt, of Bacillus Subtilis.” </w:t>
      </w:r>
      <w:r w:rsidRPr="000D74E5">
        <w:rPr>
          <w:rFonts w:ascii="Calibri"/>
          <w:i/>
          <w:iCs/>
        </w:rPr>
        <w:t>Journal of Biological Chemistry</w:t>
      </w:r>
      <w:r w:rsidRPr="000D74E5">
        <w:rPr>
          <w:rFonts w:ascii="Calibri"/>
        </w:rPr>
        <w:t xml:space="preserve"> 261 (29): 13744–53.</w:t>
      </w:r>
    </w:p>
    <w:p w14:paraId="2187FB59" w14:textId="77777777" w:rsidR="000D74E5" w:rsidRPr="000D74E5" w:rsidRDefault="000D74E5" w:rsidP="000D74E5">
      <w:pPr>
        <w:pStyle w:val="Bibliography"/>
        <w:rPr>
          <w:rFonts w:ascii="Calibri"/>
        </w:rPr>
      </w:pPr>
      <w:r w:rsidRPr="000D74E5">
        <w:rPr>
          <w:rFonts w:ascii="Calibri"/>
        </w:rPr>
        <w:t xml:space="preserve">Gadgil, Mugdha, Vivek Kapur, and Wei-Shou Hu. 2005. “Transcriptional Response of Escherichia Coli to Temperature Shift.” </w:t>
      </w:r>
      <w:r w:rsidRPr="000D74E5">
        <w:rPr>
          <w:rFonts w:ascii="Calibri"/>
          <w:i/>
          <w:iCs/>
        </w:rPr>
        <w:t>Biotechnology Progress</w:t>
      </w:r>
      <w:r w:rsidRPr="000D74E5">
        <w:rPr>
          <w:rFonts w:ascii="Calibri"/>
        </w:rPr>
        <w:t xml:space="preserve"> 21 (3): 689–99. doi:10.1021/bp049630l.</w:t>
      </w:r>
    </w:p>
    <w:p w14:paraId="78C24146" w14:textId="77777777" w:rsidR="000D74E5" w:rsidRPr="000D74E5" w:rsidRDefault="000D74E5" w:rsidP="000D74E5">
      <w:pPr>
        <w:pStyle w:val="Bibliography"/>
        <w:rPr>
          <w:rFonts w:ascii="Calibri"/>
        </w:rPr>
      </w:pPr>
      <w:r w:rsidRPr="000D74E5">
        <w:rPr>
          <w:rFonts w:ascii="Calibri"/>
        </w:rPr>
        <w:t xml:space="preserve">Hantke, K. 1997. “Ferrous Iron Uptake by a Magnesium Transport System Is Toxic for Escherichia Coli and Salmonella Typhimurium.” </w:t>
      </w:r>
      <w:r w:rsidRPr="000D74E5">
        <w:rPr>
          <w:rFonts w:ascii="Calibri"/>
          <w:i/>
          <w:iCs/>
        </w:rPr>
        <w:t>Journal of Bacteriology</w:t>
      </w:r>
      <w:r w:rsidRPr="000D74E5">
        <w:rPr>
          <w:rFonts w:ascii="Calibri"/>
        </w:rPr>
        <w:t xml:space="preserve"> 179 (19): 6201–4.</w:t>
      </w:r>
    </w:p>
    <w:p w14:paraId="4F4F0042" w14:textId="77777777" w:rsidR="000D74E5" w:rsidRPr="000D74E5" w:rsidRDefault="000D74E5" w:rsidP="000D74E5">
      <w:pPr>
        <w:pStyle w:val="Bibliography"/>
        <w:rPr>
          <w:rFonts w:ascii="Calibri"/>
        </w:rPr>
      </w:pPr>
      <w:r w:rsidRPr="000D74E5">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0D74E5">
        <w:rPr>
          <w:rFonts w:ascii="Calibri"/>
          <w:i/>
          <w:iCs/>
        </w:rPr>
        <w:t>PLoS Computational Biology</w:t>
      </w:r>
      <w:r w:rsidRPr="000D74E5">
        <w:rPr>
          <w:rFonts w:ascii="Calibri"/>
        </w:rPr>
        <w:t xml:space="preserve"> 11 (8): e1004400. doi:10.1371/journal.pcbi.1004400.</w:t>
      </w:r>
    </w:p>
    <w:p w14:paraId="24C9B81F" w14:textId="77777777" w:rsidR="000D74E5" w:rsidRPr="000D74E5" w:rsidRDefault="000D74E5" w:rsidP="000D74E5">
      <w:pPr>
        <w:pStyle w:val="Bibliography"/>
        <w:rPr>
          <w:rFonts w:ascii="Calibri"/>
        </w:rPr>
      </w:pPr>
      <w:r w:rsidRPr="000D74E5">
        <w:rPr>
          <w:rFonts w:ascii="Calibri"/>
        </w:rPr>
        <w:t xml:space="preserve">Huang, Da Wei, Brad T. Sherman, and Richard A. Lempicki. 2008. “Systematic and Integrative Analysis of Large Gene Lists Using DAVID Bioinformatics Resources.” </w:t>
      </w:r>
      <w:r w:rsidRPr="000D74E5">
        <w:rPr>
          <w:rFonts w:ascii="Calibri"/>
          <w:i/>
          <w:iCs/>
        </w:rPr>
        <w:t>Nature Protocols</w:t>
      </w:r>
      <w:r w:rsidRPr="000D74E5">
        <w:rPr>
          <w:rFonts w:ascii="Calibri"/>
        </w:rPr>
        <w:t xml:space="preserve"> 4 (1): 44–57. doi:10.1038/nprot.2008.211.</w:t>
      </w:r>
    </w:p>
    <w:p w14:paraId="69A9566D" w14:textId="77777777" w:rsidR="000D74E5" w:rsidRPr="000D74E5" w:rsidRDefault="000D74E5" w:rsidP="000D74E5">
      <w:pPr>
        <w:pStyle w:val="Bibliography"/>
        <w:rPr>
          <w:rFonts w:ascii="Calibri"/>
        </w:rPr>
      </w:pPr>
      <w:r w:rsidRPr="000D74E5">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0D74E5">
        <w:rPr>
          <w:rFonts w:ascii="Calibri"/>
          <w:i/>
          <w:iCs/>
        </w:rPr>
        <w:t>Science</w:t>
      </w:r>
      <w:r w:rsidRPr="000D74E5">
        <w:rPr>
          <w:rFonts w:ascii="Calibri"/>
        </w:rPr>
        <w:t xml:space="preserve"> 292 (5518): 929–34. doi:10.1126/science.292.5518.929.</w:t>
      </w:r>
    </w:p>
    <w:p w14:paraId="20657349" w14:textId="77777777" w:rsidR="000D74E5" w:rsidRPr="000D74E5" w:rsidRDefault="000D74E5" w:rsidP="000D74E5">
      <w:pPr>
        <w:pStyle w:val="Bibliography"/>
        <w:rPr>
          <w:rFonts w:ascii="Calibri"/>
        </w:rPr>
      </w:pPr>
      <w:r w:rsidRPr="000D74E5">
        <w:rPr>
          <w:rFonts w:ascii="Calibri"/>
        </w:rPr>
        <w:t xml:space="preserve">Jeong, Haeyoung, Valérie Barbe, Choong Hoon Lee, David Vallenet, Dong Su Yu, Sang-Haeng Choi, Arnaud Couloux, et al. 2009. “Genome Sequences of Escherichia Coli B Strains REL606 and BL21(DE3).” </w:t>
      </w:r>
      <w:r w:rsidRPr="000D74E5">
        <w:rPr>
          <w:rFonts w:ascii="Calibri"/>
          <w:i/>
          <w:iCs/>
        </w:rPr>
        <w:t>Journal of Molecular Biology</w:t>
      </w:r>
      <w:r w:rsidRPr="000D74E5">
        <w:rPr>
          <w:rFonts w:ascii="Calibri"/>
        </w:rPr>
        <w:t xml:space="preserve"> 394 (4): 644–52. doi:10.1016/j.jmb.2009.09.052.</w:t>
      </w:r>
    </w:p>
    <w:p w14:paraId="6F046945" w14:textId="77777777" w:rsidR="000D74E5" w:rsidRPr="000D74E5" w:rsidRDefault="000D74E5" w:rsidP="000D74E5">
      <w:pPr>
        <w:pStyle w:val="Bibliography"/>
        <w:rPr>
          <w:rFonts w:ascii="Calibri"/>
        </w:rPr>
      </w:pPr>
      <w:r w:rsidRPr="000D74E5">
        <w:rPr>
          <w:rFonts w:ascii="Calibri"/>
        </w:rPr>
        <w:t xml:space="preserve">Joyce, Andrew R., and Bernhard Ø Palsson. 2006. “The Model Organism as a System: Integrating ‘Omics’ Data Sets.” </w:t>
      </w:r>
      <w:r w:rsidRPr="000D74E5">
        <w:rPr>
          <w:rFonts w:ascii="Calibri"/>
          <w:i/>
          <w:iCs/>
        </w:rPr>
        <w:t>Nature Reviews Molecular Cell Biology</w:t>
      </w:r>
      <w:r w:rsidRPr="000D74E5">
        <w:rPr>
          <w:rFonts w:ascii="Calibri"/>
        </w:rPr>
        <w:t xml:space="preserve"> 7 (3): 198–210. doi:10.1038/nrm1857.</w:t>
      </w:r>
    </w:p>
    <w:p w14:paraId="17476D49" w14:textId="77777777" w:rsidR="000D74E5" w:rsidRPr="000D74E5" w:rsidRDefault="000D74E5" w:rsidP="000D74E5">
      <w:pPr>
        <w:pStyle w:val="Bibliography"/>
        <w:rPr>
          <w:rFonts w:ascii="Calibri"/>
        </w:rPr>
      </w:pPr>
      <w:r w:rsidRPr="000D74E5">
        <w:rPr>
          <w:rFonts w:ascii="Calibri"/>
        </w:rPr>
        <w:t xml:space="preserve">Kanehisa, Minoru, and Susumu Goto. 2000. “KEGG: Kyoto Encyclopedia of Genes and Genomes.” </w:t>
      </w:r>
      <w:r w:rsidRPr="000D74E5">
        <w:rPr>
          <w:rFonts w:ascii="Calibri"/>
          <w:i/>
          <w:iCs/>
        </w:rPr>
        <w:t>Nucleic Acids Research</w:t>
      </w:r>
      <w:r w:rsidRPr="000D74E5">
        <w:rPr>
          <w:rFonts w:ascii="Calibri"/>
        </w:rPr>
        <w:t xml:space="preserve"> 28 (1): 27–30.</w:t>
      </w:r>
    </w:p>
    <w:p w14:paraId="2A384EAE" w14:textId="77777777" w:rsidR="000D74E5" w:rsidRPr="000D74E5" w:rsidRDefault="000D74E5" w:rsidP="000D74E5">
      <w:pPr>
        <w:pStyle w:val="Bibliography"/>
        <w:rPr>
          <w:rFonts w:ascii="Calibri"/>
        </w:rPr>
      </w:pPr>
      <w:r w:rsidRPr="000D74E5">
        <w:rPr>
          <w:rFonts w:ascii="Calibri"/>
        </w:rPr>
        <w:t xml:space="preserve">Kim, Minseung, Violeta Zorraquino, and Ilias Tagkopoulos. 2015. “Microbial Forensics: Predicting Phenotypic Characteristics and Environmental Conditions from Large-Scale Gene Expression Profiles.” </w:t>
      </w:r>
      <w:r w:rsidRPr="000D74E5">
        <w:rPr>
          <w:rFonts w:ascii="Calibri"/>
          <w:i/>
          <w:iCs/>
        </w:rPr>
        <w:t>PLOS Comput Biol</w:t>
      </w:r>
      <w:r w:rsidRPr="000D74E5">
        <w:rPr>
          <w:rFonts w:ascii="Calibri"/>
        </w:rPr>
        <w:t xml:space="preserve"> 11 (3): e1004127. doi:10.1371/journal.pcbi.1004127.</w:t>
      </w:r>
    </w:p>
    <w:p w14:paraId="4D2F35CA" w14:textId="77777777" w:rsidR="000D74E5" w:rsidRPr="000D74E5" w:rsidRDefault="000D74E5" w:rsidP="000D74E5">
      <w:pPr>
        <w:pStyle w:val="Bibliography"/>
        <w:rPr>
          <w:rFonts w:ascii="Calibri"/>
        </w:rPr>
      </w:pPr>
      <w:r w:rsidRPr="000D74E5">
        <w:rPr>
          <w:rFonts w:ascii="Calibri"/>
        </w:rPr>
        <w:t xml:space="preserve">Langmead, Ben, and Steven L. Salzberg. 2012. “Fast Gapped-Read Alignment with Bowtie 2.” </w:t>
      </w:r>
      <w:r w:rsidRPr="000D74E5">
        <w:rPr>
          <w:rFonts w:ascii="Calibri"/>
          <w:i/>
          <w:iCs/>
        </w:rPr>
        <w:t>Nature Methods</w:t>
      </w:r>
      <w:r w:rsidRPr="000D74E5">
        <w:rPr>
          <w:rFonts w:ascii="Calibri"/>
        </w:rPr>
        <w:t xml:space="preserve"> 9 (4): 357–59. doi:10.1038/nmeth.1923.</w:t>
      </w:r>
    </w:p>
    <w:p w14:paraId="272F5249" w14:textId="77777777" w:rsidR="000D74E5" w:rsidRPr="000D74E5" w:rsidRDefault="000D74E5" w:rsidP="000D74E5">
      <w:pPr>
        <w:pStyle w:val="Bibliography"/>
        <w:rPr>
          <w:rFonts w:ascii="Calibri"/>
        </w:rPr>
      </w:pPr>
      <w:r w:rsidRPr="000D74E5">
        <w:rPr>
          <w:rFonts w:ascii="Calibri"/>
        </w:rPr>
        <w:t xml:space="preserve">Lee, Sang Yup. 1996. “High Cell-Density Culture of Escherichia Coli.” </w:t>
      </w:r>
      <w:r w:rsidRPr="000D74E5">
        <w:rPr>
          <w:rFonts w:ascii="Calibri"/>
          <w:i/>
          <w:iCs/>
        </w:rPr>
        <w:t>Trends in Biotechnology</w:t>
      </w:r>
      <w:r w:rsidRPr="000D74E5">
        <w:rPr>
          <w:rFonts w:ascii="Calibri"/>
        </w:rPr>
        <w:t xml:space="preserve"> 14 (3): 98–105. doi:10.1016/0167-7799(96)80930-9.</w:t>
      </w:r>
    </w:p>
    <w:p w14:paraId="5D74946F" w14:textId="77777777" w:rsidR="000D74E5" w:rsidRPr="000D74E5" w:rsidRDefault="000D74E5" w:rsidP="000D74E5">
      <w:pPr>
        <w:pStyle w:val="Bibliography"/>
        <w:rPr>
          <w:rFonts w:ascii="Calibri"/>
        </w:rPr>
      </w:pPr>
      <w:r w:rsidRPr="000D74E5">
        <w:rPr>
          <w:rFonts w:ascii="Calibri"/>
        </w:rPr>
        <w:t xml:space="preserve">Lewis, Nathan E., Byung-Kwan Cho, Eric M. Knight, and Bernhard O. Palsson. 2009. “Gene Expression Profiling and the Use of Genome-Scale In Silico Models of Escherichia Coli for Analysis: Providing Context for Content.” </w:t>
      </w:r>
      <w:r w:rsidRPr="000D74E5">
        <w:rPr>
          <w:rFonts w:ascii="Calibri"/>
          <w:i/>
          <w:iCs/>
        </w:rPr>
        <w:t>Journal of Bacteriology</w:t>
      </w:r>
      <w:r w:rsidRPr="000D74E5">
        <w:rPr>
          <w:rFonts w:ascii="Calibri"/>
        </w:rPr>
        <w:t xml:space="preserve"> 191 (11): 3437–44. doi:10.1128/JB.00034-09.</w:t>
      </w:r>
    </w:p>
    <w:p w14:paraId="5C6F3EF7" w14:textId="77777777" w:rsidR="000D74E5" w:rsidRPr="000D74E5" w:rsidRDefault="000D74E5" w:rsidP="000D74E5">
      <w:pPr>
        <w:pStyle w:val="Bibliography"/>
        <w:rPr>
          <w:rFonts w:ascii="Calibri"/>
        </w:rPr>
      </w:pPr>
      <w:r w:rsidRPr="000D74E5">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0D74E5">
        <w:rPr>
          <w:rFonts w:ascii="Calibri"/>
          <w:i/>
          <w:iCs/>
        </w:rPr>
        <w:t>Molecular Systems Biology</w:t>
      </w:r>
      <w:r w:rsidRPr="000D74E5">
        <w:rPr>
          <w:rFonts w:ascii="Calibri"/>
        </w:rPr>
        <w:t xml:space="preserve"> 6 (July): 390. doi:10.1038/msb.2010.47.</w:t>
      </w:r>
    </w:p>
    <w:p w14:paraId="32CF5F00" w14:textId="77777777" w:rsidR="000D74E5" w:rsidRPr="000D74E5" w:rsidRDefault="000D74E5" w:rsidP="000D74E5">
      <w:pPr>
        <w:pStyle w:val="Bibliography"/>
        <w:rPr>
          <w:rFonts w:ascii="Calibri"/>
        </w:rPr>
      </w:pPr>
      <w:r w:rsidRPr="000D74E5">
        <w:rPr>
          <w:rFonts w:ascii="Calibri"/>
        </w:rPr>
        <w:t xml:space="preserve">Love, Michael I., Wolfgang Huber, and Simon Anders. 2014. “Moderated Estimation of Fold Change and Dispersion for RNA-Seq Data with DESeq2.” </w:t>
      </w:r>
      <w:r w:rsidRPr="000D74E5">
        <w:rPr>
          <w:rFonts w:ascii="Calibri"/>
          <w:i/>
          <w:iCs/>
        </w:rPr>
        <w:t>Genome Biology</w:t>
      </w:r>
      <w:r w:rsidRPr="000D74E5">
        <w:rPr>
          <w:rFonts w:ascii="Calibri"/>
        </w:rPr>
        <w:t xml:space="preserve"> 15 (12): 550. doi:10.1186/s13059-014-0550-8.</w:t>
      </w:r>
    </w:p>
    <w:p w14:paraId="587C5199" w14:textId="77777777" w:rsidR="000D74E5" w:rsidRPr="000D74E5" w:rsidRDefault="000D74E5" w:rsidP="000D74E5">
      <w:pPr>
        <w:pStyle w:val="Bibliography"/>
        <w:rPr>
          <w:rFonts w:ascii="Calibri"/>
        </w:rPr>
      </w:pPr>
      <w:r w:rsidRPr="000D74E5">
        <w:rPr>
          <w:rFonts w:ascii="Calibri"/>
        </w:rPr>
        <w:t xml:space="preserve">Madhulatha, T. Soni. 2012. “An Overview on Clustering Methods.” </w:t>
      </w:r>
      <w:r w:rsidRPr="000D74E5">
        <w:rPr>
          <w:rFonts w:ascii="Calibri"/>
          <w:i/>
          <w:iCs/>
        </w:rPr>
        <w:t>arXiv:1205.1117 [cs]</w:t>
      </w:r>
      <w:r w:rsidRPr="000D74E5">
        <w:rPr>
          <w:rFonts w:ascii="Calibri"/>
        </w:rPr>
        <w:t>, May. http://arxiv.org/abs/1205.1117.</w:t>
      </w:r>
    </w:p>
    <w:p w14:paraId="3453492D" w14:textId="77777777" w:rsidR="000D74E5" w:rsidRPr="000D74E5" w:rsidRDefault="000D74E5" w:rsidP="000D74E5">
      <w:pPr>
        <w:pStyle w:val="Bibliography"/>
        <w:rPr>
          <w:rFonts w:ascii="Calibri"/>
        </w:rPr>
      </w:pPr>
      <w:r w:rsidRPr="000D74E5">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0D74E5">
        <w:rPr>
          <w:rFonts w:ascii="Calibri"/>
          <w:i/>
          <w:iCs/>
        </w:rPr>
        <w:t>Nature Biotechnology</w:t>
      </w:r>
      <w:r w:rsidRPr="000D74E5">
        <w:rPr>
          <w:rFonts w:ascii="Calibri"/>
        </w:rPr>
        <w:t xml:space="preserve"> advance online publication (December). doi:10.1038/nbt.3418.</w:t>
      </w:r>
    </w:p>
    <w:p w14:paraId="7A2B2114" w14:textId="77777777" w:rsidR="000D74E5" w:rsidRPr="000D74E5" w:rsidRDefault="000D74E5" w:rsidP="000D74E5">
      <w:pPr>
        <w:pStyle w:val="Bibliography"/>
        <w:rPr>
          <w:rFonts w:ascii="Calibri"/>
        </w:rPr>
      </w:pPr>
      <w:r w:rsidRPr="000D74E5">
        <w:rPr>
          <w:rFonts w:ascii="Calibri"/>
        </w:rPr>
        <w:t xml:space="preserve">Soufi, Boumediene, Karsten Krug, Andreas Harst, and Boris Macek. 2015. “Characterization of the E. Coli Proteome and Its Modifications during Growth and Ethanol Stress.” </w:t>
      </w:r>
      <w:r w:rsidRPr="000D74E5">
        <w:rPr>
          <w:rFonts w:ascii="Calibri"/>
          <w:i/>
          <w:iCs/>
        </w:rPr>
        <w:t>Frontiers in Microbiology</w:t>
      </w:r>
      <w:r w:rsidRPr="000D74E5">
        <w:rPr>
          <w:rFonts w:ascii="Calibri"/>
        </w:rPr>
        <w:t xml:space="preserve"> 6 (February). doi:10.3389/fmicb.2015.00103.</w:t>
      </w:r>
    </w:p>
    <w:p w14:paraId="63A10562" w14:textId="77777777" w:rsidR="000D74E5" w:rsidRPr="000D74E5" w:rsidRDefault="000D74E5" w:rsidP="000D74E5">
      <w:pPr>
        <w:pStyle w:val="Bibliography"/>
        <w:rPr>
          <w:rFonts w:ascii="Calibri"/>
        </w:rPr>
      </w:pPr>
      <w:r w:rsidRPr="000D74E5">
        <w:rPr>
          <w:rFonts w:ascii="Calibri"/>
        </w:rPr>
        <w:t xml:space="preserve">Taniguchi, Yuichi, Paul J. Choi, Gene-Wei Li, Huiyi Chen, Mohan Babu, Jeremy Hearn, Andrew Emili, and X. Sunney Xie. 2010. “Quantifying E. Coli Proteome and Transcriptome with Single-Molecule Sensitivity in Single Cells.” </w:t>
      </w:r>
      <w:r w:rsidRPr="000D74E5">
        <w:rPr>
          <w:rFonts w:ascii="Calibri"/>
          <w:i/>
          <w:iCs/>
        </w:rPr>
        <w:t>Science</w:t>
      </w:r>
      <w:r w:rsidRPr="000D74E5">
        <w:rPr>
          <w:rFonts w:ascii="Calibri"/>
        </w:rPr>
        <w:t xml:space="preserve"> 329 (5991): 533–38. doi:10.1126/science.1188308.</w:t>
      </w:r>
    </w:p>
    <w:p w14:paraId="33586A07" w14:textId="77777777" w:rsidR="000D74E5" w:rsidRPr="000D74E5" w:rsidRDefault="000D74E5" w:rsidP="000D74E5">
      <w:pPr>
        <w:pStyle w:val="Bibliography"/>
        <w:rPr>
          <w:rFonts w:ascii="Calibri"/>
        </w:rPr>
      </w:pPr>
      <w:r w:rsidRPr="000D74E5">
        <w:rPr>
          <w:rFonts w:ascii="Calibri"/>
        </w:rPr>
        <w:t xml:space="preserve">Vogel, Christine, and Edward M. Marcotte. 2012. “Insights into the Regulation of Protein Abundance from Proteomic and Transcriptomic Analyses.” </w:t>
      </w:r>
      <w:r w:rsidRPr="000D74E5">
        <w:rPr>
          <w:rFonts w:ascii="Calibri"/>
          <w:i/>
          <w:iCs/>
        </w:rPr>
        <w:t>Nature Reviews Genetics</w:t>
      </w:r>
      <w:r w:rsidRPr="000D74E5">
        <w:rPr>
          <w:rFonts w:ascii="Calibri"/>
        </w:rPr>
        <w:t xml:space="preserve"> 13 (4): 227–32. doi:10.1038/nrg3185.</w:t>
      </w:r>
    </w:p>
    <w:p w14:paraId="61E857D2" w14:textId="77777777" w:rsidR="000D74E5" w:rsidRPr="000D74E5" w:rsidRDefault="000D74E5" w:rsidP="000D74E5">
      <w:pPr>
        <w:pStyle w:val="Bibliography"/>
        <w:rPr>
          <w:rFonts w:ascii="Calibri"/>
        </w:rPr>
      </w:pPr>
      <w:r w:rsidRPr="000D74E5">
        <w:rPr>
          <w:rFonts w:ascii="Calibri"/>
        </w:rPr>
        <w:t xml:space="preserve">Weber, Arnim, Stephanie A. Kögl, and Kirsten Jung. 2006. “Time-Dependent Proteome Alterations under Osmotic Stress during Aerobic and Anaerobic Growth in Escherichia Coli.” </w:t>
      </w:r>
      <w:r w:rsidRPr="000D74E5">
        <w:rPr>
          <w:rFonts w:ascii="Calibri"/>
          <w:i/>
          <w:iCs/>
        </w:rPr>
        <w:t>Journal of Bacteriology</w:t>
      </w:r>
      <w:r w:rsidRPr="000D74E5">
        <w:rPr>
          <w:rFonts w:ascii="Calibri"/>
        </w:rPr>
        <w:t xml:space="preserve"> 188 (20): 7165–75. doi:10.1128/JB.00508-06.</w:t>
      </w:r>
    </w:p>
    <w:p w14:paraId="297E05DB" w14:textId="77777777" w:rsidR="000D74E5" w:rsidRPr="000D74E5" w:rsidRDefault="000D74E5" w:rsidP="000D74E5">
      <w:pPr>
        <w:pStyle w:val="Bibliography"/>
        <w:rPr>
          <w:rFonts w:ascii="Calibri"/>
        </w:rPr>
      </w:pPr>
      <w:r w:rsidRPr="000D74E5">
        <w:rPr>
          <w:rFonts w:ascii="Calibri"/>
        </w:rPr>
        <w:t xml:space="preserve">Weissenborn, D. L., N. Wittekindt, and T. J. Larson. 1992. “Structure and Regulation of the glpFK Operon Encoding Glycerol Diffusion Facilitator and Glycerol Kinase of Escherichia Coli K-12.” </w:t>
      </w:r>
      <w:r w:rsidRPr="000D74E5">
        <w:rPr>
          <w:rFonts w:ascii="Calibri"/>
          <w:i/>
          <w:iCs/>
        </w:rPr>
        <w:t>Journal of Biological Chemistry</w:t>
      </w:r>
      <w:r w:rsidRPr="000D74E5">
        <w:rPr>
          <w:rFonts w:ascii="Calibri"/>
        </w:rPr>
        <w:t xml:space="preserve"> 267 (9): 6122–31.</w:t>
      </w:r>
    </w:p>
    <w:p w14:paraId="62B371FB" w14:textId="77777777" w:rsidR="000D74E5" w:rsidRPr="000D74E5" w:rsidRDefault="000D74E5" w:rsidP="000D74E5">
      <w:pPr>
        <w:pStyle w:val="Bibliography"/>
        <w:rPr>
          <w:rFonts w:ascii="Calibri"/>
        </w:rPr>
      </w:pPr>
      <w:r w:rsidRPr="000D74E5">
        <w:rPr>
          <w:rFonts w:ascii="Calibri"/>
        </w:rPr>
        <w:t xml:space="preserve">Yoon, Sung Ho, Mee-Jung Han, Sang Yup Lee, Ki Jun Jeong, and Jong-Shin Yoo. 2003. “Combined Transcriptome and Proteome Analysis of Escherichia Coli during High Cell Density Culture.” </w:t>
      </w:r>
      <w:r w:rsidRPr="000D74E5">
        <w:rPr>
          <w:rFonts w:ascii="Calibri"/>
          <w:i/>
          <w:iCs/>
        </w:rPr>
        <w:t>Biotechnology and Bioengineering</w:t>
      </w:r>
      <w:r w:rsidRPr="000D74E5">
        <w:rPr>
          <w:rFonts w:ascii="Calibri"/>
        </w:rPr>
        <w:t xml:space="preserve"> 81 (7): 753–67. doi:10.1002/bit.10626.</w:t>
      </w:r>
    </w:p>
    <w:p w14:paraId="192898B5" w14:textId="77777777" w:rsidR="000D74E5" w:rsidRPr="000D74E5" w:rsidRDefault="000D74E5" w:rsidP="000D74E5">
      <w:pPr>
        <w:pStyle w:val="Bibliography"/>
        <w:rPr>
          <w:rFonts w:ascii="Calibri"/>
        </w:rPr>
      </w:pPr>
      <w:r w:rsidRPr="000D74E5">
        <w:rPr>
          <w:rFonts w:ascii="Calibri"/>
        </w:rPr>
        <w:t xml:space="preserve">Zhang, W., F. Li, and L. Nie. 2010. “Integrating Multiple ‘Omics’ Analysis for Microbial Biology: Application and Methodologies.” </w:t>
      </w:r>
      <w:r w:rsidRPr="000D74E5">
        <w:rPr>
          <w:rFonts w:ascii="Calibri"/>
          <w:i/>
          <w:iCs/>
        </w:rPr>
        <w:t>Microbiology</w:t>
      </w:r>
      <w:r w:rsidRPr="000D74E5">
        <w:rPr>
          <w:rFonts w:ascii="Calibri"/>
        </w:rPr>
        <w:t xml:space="preserve"> 156 (2): 287–301. doi:10.1099/mic.0.034793-0.</w:t>
      </w:r>
    </w:p>
    <w:p w14:paraId="4932E739" w14:textId="2B08A5A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laus Wilke" w:date="2016-05-09T17:08:00Z" w:initials="CW">
    <w:p w14:paraId="1B2C7EA5" w14:textId="36EC80A3" w:rsidR="0036081D" w:rsidRDefault="0036081D">
      <w:pPr>
        <w:pStyle w:val="CommentText"/>
      </w:pPr>
      <w:r>
        <w:rPr>
          <w:rStyle w:val="CommentReference"/>
        </w:rPr>
        <w:annotationRef/>
      </w:r>
      <w:r>
        <w:t>FDR-corrected P?</w:t>
      </w:r>
    </w:p>
  </w:comment>
  <w:comment w:id="3" w:author="Claus Wilke" w:date="2016-05-15T20:30:00Z" w:initials="CW">
    <w:p w14:paraId="7D8AFFFF" w14:textId="067632C6" w:rsidR="0036081D" w:rsidRDefault="0036081D">
      <w:pPr>
        <w:pStyle w:val="CommentText"/>
      </w:pPr>
      <w:r>
        <w:rPr>
          <w:rStyle w:val="CommentReference"/>
        </w:rPr>
        <w:annotationRef/>
      </w:r>
      <w:r>
        <w:t>Is this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36081D" w:rsidRDefault="0036081D" w:rsidP="00522EEC">
      <w:r>
        <w:separator/>
      </w:r>
    </w:p>
  </w:endnote>
  <w:endnote w:type="continuationSeparator" w:id="0">
    <w:p w14:paraId="5395B59D" w14:textId="77777777" w:rsidR="0036081D" w:rsidRDefault="0036081D"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36081D" w:rsidRDefault="0036081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36081D" w:rsidRDefault="0036081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36081D" w:rsidRDefault="0036081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6B59">
      <w:rPr>
        <w:rStyle w:val="PageNumber"/>
        <w:noProof/>
      </w:rPr>
      <w:t>1</w:t>
    </w:r>
    <w:r>
      <w:rPr>
        <w:rStyle w:val="PageNumber"/>
      </w:rPr>
      <w:fldChar w:fldCharType="end"/>
    </w:r>
  </w:p>
  <w:p w14:paraId="7B2AAECF" w14:textId="77777777" w:rsidR="0036081D" w:rsidRDefault="0036081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36081D" w:rsidRDefault="0036081D" w:rsidP="00522EEC">
      <w:r>
        <w:separator/>
      </w:r>
    </w:p>
  </w:footnote>
  <w:footnote w:type="continuationSeparator" w:id="0">
    <w:p w14:paraId="455F0858" w14:textId="77777777" w:rsidR="0036081D" w:rsidRDefault="0036081D"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2E0B"/>
    <w:rsid w:val="00095837"/>
    <w:rsid w:val="00095A90"/>
    <w:rsid w:val="00096BE9"/>
    <w:rsid w:val="000A3282"/>
    <w:rsid w:val="000A633B"/>
    <w:rsid w:val="000B2CC7"/>
    <w:rsid w:val="000B6E87"/>
    <w:rsid w:val="000C2150"/>
    <w:rsid w:val="000D1BCF"/>
    <w:rsid w:val="000D74E5"/>
    <w:rsid w:val="000E1868"/>
    <w:rsid w:val="000E22E3"/>
    <w:rsid w:val="000E701E"/>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524AC"/>
    <w:rsid w:val="00162DB1"/>
    <w:rsid w:val="00165313"/>
    <w:rsid w:val="00166861"/>
    <w:rsid w:val="001731D5"/>
    <w:rsid w:val="00175061"/>
    <w:rsid w:val="00175D58"/>
    <w:rsid w:val="00176A0E"/>
    <w:rsid w:val="00176D80"/>
    <w:rsid w:val="0018063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379"/>
    <w:rsid w:val="002577BD"/>
    <w:rsid w:val="002620FC"/>
    <w:rsid w:val="00262505"/>
    <w:rsid w:val="00264187"/>
    <w:rsid w:val="00266E8D"/>
    <w:rsid w:val="00266F46"/>
    <w:rsid w:val="0026742C"/>
    <w:rsid w:val="0027166C"/>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D55DA"/>
    <w:rsid w:val="002E44C6"/>
    <w:rsid w:val="002E5C5C"/>
    <w:rsid w:val="002F39D1"/>
    <w:rsid w:val="002F57AD"/>
    <w:rsid w:val="0030374E"/>
    <w:rsid w:val="003067F7"/>
    <w:rsid w:val="00311020"/>
    <w:rsid w:val="00311BC1"/>
    <w:rsid w:val="00315216"/>
    <w:rsid w:val="00316923"/>
    <w:rsid w:val="00316CB1"/>
    <w:rsid w:val="0032028B"/>
    <w:rsid w:val="00321ADC"/>
    <w:rsid w:val="00325A61"/>
    <w:rsid w:val="00326987"/>
    <w:rsid w:val="00330759"/>
    <w:rsid w:val="0033252D"/>
    <w:rsid w:val="00345DA5"/>
    <w:rsid w:val="00346136"/>
    <w:rsid w:val="0035006B"/>
    <w:rsid w:val="00350671"/>
    <w:rsid w:val="00356F8E"/>
    <w:rsid w:val="0036081D"/>
    <w:rsid w:val="00360CF7"/>
    <w:rsid w:val="003641BC"/>
    <w:rsid w:val="00365D66"/>
    <w:rsid w:val="0036669B"/>
    <w:rsid w:val="00370076"/>
    <w:rsid w:val="0037039B"/>
    <w:rsid w:val="00373658"/>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334F7"/>
    <w:rsid w:val="00435168"/>
    <w:rsid w:val="00440CAA"/>
    <w:rsid w:val="00445B9E"/>
    <w:rsid w:val="00445CF9"/>
    <w:rsid w:val="00452923"/>
    <w:rsid w:val="00453096"/>
    <w:rsid w:val="004571F0"/>
    <w:rsid w:val="00461799"/>
    <w:rsid w:val="00462887"/>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E54CD"/>
    <w:rsid w:val="004F3281"/>
    <w:rsid w:val="004F5B9F"/>
    <w:rsid w:val="004F79A2"/>
    <w:rsid w:val="00500979"/>
    <w:rsid w:val="00502D23"/>
    <w:rsid w:val="005042E3"/>
    <w:rsid w:val="005047C6"/>
    <w:rsid w:val="00504F91"/>
    <w:rsid w:val="0051095E"/>
    <w:rsid w:val="00517811"/>
    <w:rsid w:val="00522EEC"/>
    <w:rsid w:val="00523BA6"/>
    <w:rsid w:val="00526C9C"/>
    <w:rsid w:val="0053050A"/>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8663C"/>
    <w:rsid w:val="005923FC"/>
    <w:rsid w:val="0059625A"/>
    <w:rsid w:val="00596DC3"/>
    <w:rsid w:val="005A2BDD"/>
    <w:rsid w:val="005A2E74"/>
    <w:rsid w:val="005A6A99"/>
    <w:rsid w:val="005A744D"/>
    <w:rsid w:val="005B15D1"/>
    <w:rsid w:val="005B3BAE"/>
    <w:rsid w:val="005B4126"/>
    <w:rsid w:val="005B5BAD"/>
    <w:rsid w:val="005B6450"/>
    <w:rsid w:val="005B7960"/>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B7B8D"/>
    <w:rsid w:val="006C2B82"/>
    <w:rsid w:val="006D1FF6"/>
    <w:rsid w:val="006E0094"/>
    <w:rsid w:val="006E1081"/>
    <w:rsid w:val="006E3CAA"/>
    <w:rsid w:val="006E46BD"/>
    <w:rsid w:val="006E4EDD"/>
    <w:rsid w:val="006E683D"/>
    <w:rsid w:val="006F05AA"/>
    <w:rsid w:val="006F290A"/>
    <w:rsid w:val="006F2E1A"/>
    <w:rsid w:val="006F70EB"/>
    <w:rsid w:val="0070648D"/>
    <w:rsid w:val="00707C7A"/>
    <w:rsid w:val="00707E3B"/>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B0321"/>
    <w:rsid w:val="007B145B"/>
    <w:rsid w:val="007B2831"/>
    <w:rsid w:val="007D014B"/>
    <w:rsid w:val="007D2BD6"/>
    <w:rsid w:val="007E2476"/>
    <w:rsid w:val="007E3359"/>
    <w:rsid w:val="007E786B"/>
    <w:rsid w:val="007F2951"/>
    <w:rsid w:val="007F3B2C"/>
    <w:rsid w:val="00802237"/>
    <w:rsid w:val="00810298"/>
    <w:rsid w:val="00810B87"/>
    <w:rsid w:val="008128F4"/>
    <w:rsid w:val="0081461F"/>
    <w:rsid w:val="008146CA"/>
    <w:rsid w:val="0081598A"/>
    <w:rsid w:val="008272F5"/>
    <w:rsid w:val="00835315"/>
    <w:rsid w:val="0083665D"/>
    <w:rsid w:val="00850542"/>
    <w:rsid w:val="00850A8E"/>
    <w:rsid w:val="00855A4F"/>
    <w:rsid w:val="0086191E"/>
    <w:rsid w:val="00864361"/>
    <w:rsid w:val="008663A4"/>
    <w:rsid w:val="0086748F"/>
    <w:rsid w:val="00870504"/>
    <w:rsid w:val="00873A97"/>
    <w:rsid w:val="008761D9"/>
    <w:rsid w:val="0087643A"/>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D4D86"/>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64989"/>
    <w:rsid w:val="00A71DB1"/>
    <w:rsid w:val="00A722EF"/>
    <w:rsid w:val="00AA105F"/>
    <w:rsid w:val="00AA2477"/>
    <w:rsid w:val="00AA3348"/>
    <w:rsid w:val="00AA36DC"/>
    <w:rsid w:val="00AA421C"/>
    <w:rsid w:val="00AB4581"/>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E15CA"/>
    <w:rsid w:val="00BE48B5"/>
    <w:rsid w:val="00BE537C"/>
    <w:rsid w:val="00BF1D55"/>
    <w:rsid w:val="00BF53F6"/>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80BDE"/>
    <w:rsid w:val="00C90590"/>
    <w:rsid w:val="00C93C2F"/>
    <w:rsid w:val="00C9740B"/>
    <w:rsid w:val="00C97B91"/>
    <w:rsid w:val="00CA028F"/>
    <w:rsid w:val="00CA5118"/>
    <w:rsid w:val="00CB10D2"/>
    <w:rsid w:val="00CB1DA0"/>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A5FF2"/>
    <w:rsid w:val="00DB2D98"/>
    <w:rsid w:val="00DB46D5"/>
    <w:rsid w:val="00DB5BD2"/>
    <w:rsid w:val="00DC23E8"/>
    <w:rsid w:val="00DC2788"/>
    <w:rsid w:val="00DC54D6"/>
    <w:rsid w:val="00DC6C5E"/>
    <w:rsid w:val="00DD2DF5"/>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800BD"/>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907AE"/>
    <w:rsid w:val="00F91445"/>
    <w:rsid w:val="00F9451F"/>
    <w:rsid w:val="00FA0715"/>
    <w:rsid w:val="00FA16F6"/>
    <w:rsid w:val="00FA2A93"/>
    <w:rsid w:val="00FB0045"/>
    <w:rsid w:val="00FC1023"/>
    <w:rsid w:val="00FC147D"/>
    <w:rsid w:val="00FC1E2E"/>
    <w:rsid w:val="00FC2620"/>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2AF9D-4251-B64B-9F31-CF94895B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11</Pages>
  <Words>22455</Words>
  <Characters>127998</Characters>
  <Application>Microsoft Macintosh Word</Application>
  <DocSecurity>0</DocSecurity>
  <Lines>1066</Lines>
  <Paragraphs>300</Paragraphs>
  <ScaleCrop>false</ScaleCrop>
  <Company>ut austin</Company>
  <LinksUpToDate>false</LinksUpToDate>
  <CharactersWithSpaces>150153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142</cp:revision>
  <dcterms:created xsi:type="dcterms:W3CDTF">2016-01-06T19:03:00Z</dcterms:created>
  <dcterms:modified xsi:type="dcterms:W3CDTF">2016-05-16T01:49:00Z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id="VsbbiPUB"/&gt;&lt;style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