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3C382102" w:rsidR="00A11527" w:rsidRPr="00542C1B" w:rsidRDefault="00A11527" w:rsidP="00A11527">
      <w:r w:rsidRPr="00542C1B">
        <w:t xml:space="preserve">Mehmet U. </w:t>
      </w:r>
      <w:proofErr w:type="spellStart"/>
      <w:r w:rsidRPr="00542C1B">
        <w:t>Caglar</w:t>
      </w:r>
      <w:proofErr w:type="spellEnd"/>
      <w:r w:rsidRPr="00542C1B">
        <w:t xml:space="preserve">, </w:t>
      </w:r>
      <w:r w:rsidR="00ED05E0" w:rsidRPr="00542C1B">
        <w:t xml:space="preserve">John R. Houser, </w:t>
      </w:r>
      <w:r w:rsidRPr="00542C1B">
        <w:t xml:space="preserve">Walter F. Lenoir, Drew Vander Wood, </w:t>
      </w:r>
      <w:proofErr w:type="spellStart"/>
      <w:r w:rsidRPr="00542C1B">
        <w:t>Dariya</w:t>
      </w:r>
      <w:proofErr w:type="spellEnd"/>
      <w:r w:rsidRPr="00542C1B">
        <w:t xml:space="preserve"> K. </w:t>
      </w:r>
      <w:proofErr w:type="spellStart"/>
      <w:r w:rsidRPr="00542C1B">
        <w:t>Sydykova</w:t>
      </w:r>
      <w:proofErr w:type="spellEnd"/>
      <w:r w:rsidRPr="00542C1B">
        <w:t xml:space="preserve">, </w:t>
      </w:r>
      <w:r w:rsidR="00FD77EC">
        <w:t>Bart</w:t>
      </w:r>
      <w:r w:rsidR="009B780F">
        <w:t>ram L.</w:t>
      </w:r>
      <w:r w:rsidR="00FD77EC">
        <w:t xml:space="preserve"> Smith,</w:t>
      </w:r>
      <w:r w:rsidR="00006B59">
        <w:t xml:space="preserve"> Dan </w:t>
      </w:r>
      <w:proofErr w:type="spellStart"/>
      <w:r w:rsidR="00006B59">
        <w:t>Boutz</w:t>
      </w:r>
      <w:proofErr w:type="spellEnd"/>
      <w:r w:rsidR="00FD77EC">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w:t>
      </w:r>
      <w:proofErr w:type="spellStart"/>
      <w:r w:rsidRPr="00542C1B">
        <w:t>Marcotte</w:t>
      </w:r>
      <w:proofErr w:type="spellEnd"/>
      <w:r w:rsidRPr="00542C1B">
        <w:t xml:space="preserve">, </w:t>
      </w:r>
      <w:r w:rsidR="00ED05E0" w:rsidRPr="00542C1B">
        <w:t xml:space="preserve">Jeffrey E. </w:t>
      </w:r>
      <w:proofErr w:type="spellStart"/>
      <w:r w:rsidR="00ED05E0" w:rsidRPr="00542C1B">
        <w:t>Barrick</w:t>
      </w:r>
      <w:proofErr w:type="spellEnd"/>
      <w:r w:rsidR="00ED05E0" w:rsidRPr="00542C1B">
        <w:t xml:space="preserve">,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4769CF8B" w:rsidR="00E44657" w:rsidRDefault="009E1177" w:rsidP="00E44657">
      <w:r>
        <w:t xml:space="preserve">Modern systems biology requires extensive, carefully curated </w:t>
      </w:r>
      <w:r w:rsidR="0083665D">
        <w:t>measurement</w:t>
      </w:r>
      <w:r>
        <w:t xml:space="preserve"> </w:t>
      </w:r>
      <w:r w:rsidR="0083665D">
        <w:t>of cellular components in response to different enviro</w:t>
      </w:r>
      <w:r w:rsidR="00F16271">
        <w:t>nmental conditions. While</w:t>
      </w:r>
      <w:r w:rsidR="0083665D">
        <w:t xml:space="preserve"> high-throughput methods have made </w:t>
      </w:r>
      <w:proofErr w:type="spellStart"/>
      <w:r w:rsidR="0083665D">
        <w:t>tran</w:t>
      </w:r>
      <w:r w:rsidR="00F16271">
        <w:t>scriptomics</w:t>
      </w:r>
      <w:proofErr w:type="spellEnd"/>
      <w:r w:rsidR="00F16271">
        <w:t xml:space="preserve">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w:t>
      </w:r>
      <w:proofErr w:type="spellStart"/>
      <w:r w:rsidRPr="009E1177">
        <w:t>transcriptomics</w:t>
      </w:r>
      <w:proofErr w:type="spellEnd"/>
      <w:r w:rsidRPr="009E1177">
        <w:t xml:space="preserve">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 xml:space="preserve">different conditions. We </w:t>
      </w:r>
      <w:proofErr w:type="gramStart"/>
      <w:r w:rsidRPr="009E1177">
        <w:t>manipulate</w:t>
      </w:r>
      <w:proofErr w:type="gramEnd"/>
      <w:r w:rsidRPr="009E1177">
        <w:t xml:space="preserve"> concentrations of sodium and magnesium</w:t>
      </w:r>
      <w:r w:rsidR="0083665D">
        <w:t xml:space="preserve"> in the growth media</w:t>
      </w:r>
      <w:r w:rsidR="00F16271">
        <w:t xml:space="preserve">, and we consider four </w:t>
      </w:r>
      <w:r w:rsidRPr="009E1177">
        <w:t xml:space="preserve">different carbon sources glucose, </w:t>
      </w:r>
      <w:proofErr w:type="spellStart"/>
      <w:r w:rsidRPr="009E1177">
        <w:t>gluconate</w:t>
      </w:r>
      <w:proofErr w:type="spellEnd"/>
      <w:r w:rsidRPr="009E1177">
        <w:t xml:space="preserv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w:t>
      </w:r>
      <w:proofErr w:type="spellStart"/>
      <w:r>
        <w:t>gluconate</w:t>
      </w:r>
      <w:proofErr w:type="spellEnd"/>
      <w:r>
        <w:t xml:space="preserv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414BE994"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there is a need for more detailed experimental studies including more samples in this area to understand interactions between different levels of </w:t>
      </w:r>
      <w:proofErr w:type="spellStart"/>
      <w:r w:rsidR="002E44C6" w:rsidRPr="00043BB9">
        <w:rPr>
          <w:color w:val="000000" w:themeColor="text1"/>
        </w:rPr>
        <w:t>omics</w:t>
      </w:r>
      <w:proofErr w:type="spellEnd"/>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8F316E4"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genome-wide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proofErr w:type="gramStart"/>
      <w:r w:rsidR="00BF53F6" w:rsidRPr="00F16271">
        <w:rPr>
          <w:i/>
          <w:color w:val="000000" w:themeColor="text1"/>
        </w:rPr>
        <w:t>c</w:t>
      </w:r>
      <w:r w:rsidR="00DA13EE" w:rsidRPr="00F16271">
        <w:rPr>
          <w:i/>
          <w:color w:val="000000" w:themeColor="text1"/>
        </w:rPr>
        <w:t>oli</w:t>
      </w:r>
      <w:proofErr w:type="gramEnd"/>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w:t>
      </w:r>
      <w:r w:rsidR="009D10CD" w:rsidRPr="009D10CD">
        <w:rPr>
          <w:color w:val="000000" w:themeColor="text1"/>
        </w:rPr>
        <w:lastRenderedPageBreak/>
        <w:t xml:space="preserve">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w:t>
      </w:r>
      <w:proofErr w:type="spellStart"/>
      <w:r w:rsidR="009D10CD" w:rsidRPr="009D10CD">
        <w:rPr>
          <w:color w:val="000000" w:themeColor="text1"/>
        </w:rPr>
        <w:t>transcriptome</w:t>
      </w:r>
      <w:proofErr w:type="spellEnd"/>
      <w:r w:rsidR="009D10CD" w:rsidRPr="009D10CD">
        <w:rPr>
          <w:color w:val="000000" w:themeColor="text1"/>
        </w:rPr>
        <w:t xml:space="preserv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proofErr w:type="spellStart"/>
      <w:r w:rsidR="00EB454C" w:rsidRPr="00B45F0F">
        <w:rPr>
          <w:color w:val="000000" w:themeColor="text1"/>
        </w:rPr>
        <w:t>transcriptome</w:t>
      </w:r>
      <w:r w:rsidR="00B45F0F">
        <w:rPr>
          <w:color w:val="000000" w:themeColor="text1"/>
        </w:rPr>
        <w:t>s</w:t>
      </w:r>
      <w:proofErr w:type="spellEnd"/>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48C797C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w:t>
      </w:r>
      <w:proofErr w:type="spellStart"/>
      <w:r w:rsidR="00CE52AB">
        <w:t>gluconate</w:t>
      </w:r>
      <w:proofErr w:type="spellEnd"/>
      <w:r w:rsidR="00CE52AB">
        <w:t xml:space="preserv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39FAFBE8"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protein samples</w:t>
      </w:r>
      <w:r w:rsidR="00F16271">
        <w:t xml:space="preserve"> (</w:t>
      </w:r>
      <w:r>
        <w:t>S</w:t>
      </w:r>
      <w:r w:rsidR="00F91445">
        <w:t>upplementary Table</w:t>
      </w:r>
      <w:r w:rsidR="00F16271">
        <w:t xml:space="preserve"> 1</w:t>
      </w:r>
      <w:r>
        <w:t>)</w:t>
      </w:r>
      <w:r w:rsidR="00F16271">
        <w:t>.</w:t>
      </w:r>
    </w:p>
    <w:p w14:paraId="43216E4D" w14:textId="70AEFF98" w:rsidR="002A6E4A" w:rsidRDefault="002A6E4A" w:rsidP="007B145B"/>
    <w:p w14:paraId="77ED53FB" w14:textId="214FE588" w:rsidR="006F70EB" w:rsidRDefault="00881210" w:rsidP="006F70EB">
      <w:pPr>
        <w:rPr>
          <w:i/>
        </w:rPr>
      </w:pPr>
      <w:r>
        <w:t>Our raw RNA-</w:t>
      </w:r>
      <w:proofErr w:type="spellStart"/>
      <w:r>
        <w:t>seq</w:t>
      </w:r>
      <w:proofErr w:type="spellEnd"/>
      <w:r>
        <w:t xml:space="preserve">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w:t>
      </w:r>
      <w:r w:rsidR="00F16271">
        <w:t>lementary</w:t>
      </w:r>
      <w:r>
        <w:t xml:space="preserve">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w:t>
      </w:r>
      <w:proofErr w:type="gramStart"/>
      <w:r w:rsidR="00CE52AB">
        <w:t xml:space="preserve">all </w:t>
      </w:r>
      <w:r w:rsidRPr="00B67655">
        <w:t>exponential</w:t>
      </w:r>
      <w:proofErr w:type="gramEnd"/>
      <w:r w:rsidRPr="00B67655">
        <w:t xml:space="preserve">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DAB498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w:t>
      </w:r>
      <w:proofErr w:type="spellStart"/>
      <w:r w:rsidRPr="00B67655">
        <w:t>cophenetic</w:t>
      </w:r>
      <w:proofErr w:type="spellEnd"/>
      <w:r w:rsidRPr="00B67655">
        <w:t xml:space="preserve"> distance between all pairs corresponding to the same condition (e.g., for growth phase, all pairs sampled at exponential phase and all pairs sampled at stationary/late stationary phase). The </w:t>
      </w:r>
      <w:proofErr w:type="spellStart"/>
      <w:r w:rsidRPr="00B67655">
        <w:t>cophenetic</w:t>
      </w:r>
      <w:proofErr w:type="spellEnd"/>
      <w:r w:rsidRPr="00B67655">
        <w:t xml:space="preserve"> distance is defined a</w:t>
      </w:r>
      <w:r w:rsidR="00F16271">
        <w:t xml:space="preserve">s the height of the </w:t>
      </w:r>
      <w:proofErr w:type="spellStart"/>
      <w:r w:rsidR="00F16271">
        <w:t>dendrogram</w:t>
      </w:r>
      <w:proofErr w:type="spellEnd"/>
      <w:r w:rsidR="00F16271">
        <w:t xml:space="preserve"> </w:t>
      </w:r>
      <w:r w:rsidRPr="00B67655">
        <w:t>produced</w:t>
      </w:r>
      <w:r w:rsidR="00F16271">
        <w:t xml:space="preserve"> by the hierarchical clustering</w:t>
      </w:r>
      <w:r w:rsidRPr="00B67655">
        <w:t xml:space="preserve"> from the two selected leafs to the point where the two branches merge. We then converted each mean </w:t>
      </w:r>
      <w:proofErr w:type="spellStart"/>
      <w:r w:rsidRPr="00B67655">
        <w:t>cophenetic</w:t>
      </w:r>
      <w:proofErr w:type="spellEnd"/>
      <w:r w:rsidRPr="00B67655">
        <w:t xml:space="preserve"> distance into a </w:t>
      </w:r>
      <w:proofErr w:type="gramStart"/>
      <w:r w:rsidRPr="00B002D1">
        <w:rPr>
          <w:i/>
        </w:rPr>
        <w:t>z</w:t>
      </w:r>
      <w:r w:rsidRPr="00526C9C">
        <w:t>-score</w:t>
      </w:r>
      <w:proofErr w:type="gramEnd"/>
      <w:r w:rsidRPr="00B67655">
        <w:t xml:space="preserve">, by resampling mean </w:t>
      </w:r>
      <w:proofErr w:type="spellStart"/>
      <w:r w:rsidRPr="00B67655">
        <w:t>cophenetic</w:t>
      </w:r>
      <w:proofErr w:type="spellEnd"/>
      <w:r w:rsidRPr="00B67655">
        <w:t xml:space="preserve"> distances from </w:t>
      </w:r>
      <w:proofErr w:type="spellStart"/>
      <w:r w:rsidRPr="00B67655">
        <w:t>dendograms</w:t>
      </w:r>
      <w:proofErr w:type="spellEnd"/>
      <w:r w:rsidRPr="00B67655">
        <w:t xml:space="preserve"> with reshuffled leaf assignments. A </w:t>
      </w:r>
      <w:proofErr w:type="gramStart"/>
      <w:r w:rsidRPr="00B002D1">
        <w:rPr>
          <w:i/>
        </w:rPr>
        <w:t>z</w:t>
      </w:r>
      <w:r w:rsidRPr="00526C9C">
        <w:t>-score</w:t>
      </w:r>
      <w:proofErr w:type="gramEnd"/>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7ECCD88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proofErr w:type="gramStart"/>
      <w:r w:rsidRPr="00526C9C">
        <w:rPr>
          <w:rFonts w:eastAsiaTheme="minorEastAsia" w:cstheme="minorBidi"/>
          <w:b w:val="0"/>
          <w:bCs w:val="0"/>
          <w:i/>
          <w:color w:val="auto"/>
        </w:rPr>
        <w:t>z</w:t>
      </w:r>
      <w:r w:rsidR="00526C9C">
        <w:rPr>
          <w:rFonts w:eastAsiaTheme="minorEastAsia" w:cstheme="minorBidi"/>
          <w:b w:val="0"/>
          <w:bCs w:val="0"/>
          <w:color w:val="auto"/>
        </w:rPr>
        <w:t>-score</w:t>
      </w:r>
      <w:proofErr w:type="gramEnd"/>
      <w:r w:rsidR="00526C9C">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proofErr w:type="gramStart"/>
      <w:r w:rsidR="00870504" w:rsidRPr="00526C9C">
        <w:rPr>
          <w:rFonts w:eastAsiaTheme="minorEastAsia" w:cstheme="minorBidi"/>
          <w:b w:val="0"/>
          <w:bCs w:val="0"/>
          <w:i/>
          <w:color w:val="auto"/>
        </w:rPr>
        <w:t>z</w:t>
      </w:r>
      <w:r w:rsidR="00870504">
        <w:rPr>
          <w:rFonts w:eastAsiaTheme="minorEastAsia" w:cstheme="minorBidi"/>
          <w:b w:val="0"/>
          <w:bCs w:val="0"/>
          <w:color w:val="auto"/>
        </w:rPr>
        <w:t>-score</w:t>
      </w:r>
      <w:proofErr w:type="gramEnd"/>
      <w:r w:rsidR="00870504">
        <w:rPr>
          <w:rFonts w:eastAsiaTheme="minorEastAsia" w:cstheme="minorBidi"/>
          <w:b w:val="0"/>
          <w:bCs w:val="0"/>
          <w:color w:val="auto"/>
        </w:rPr>
        <w:t xml:space="preserv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proofErr w:type="gramStart"/>
      <w:r w:rsidRPr="0067765D">
        <w:rPr>
          <w:rFonts w:eastAsiaTheme="minorEastAsia" w:cstheme="minorBidi"/>
          <w:b w:val="0"/>
          <w:bCs w:val="0"/>
          <w:i/>
          <w:color w:val="auto"/>
        </w:rPr>
        <w:t>z</w:t>
      </w:r>
      <w:r w:rsidRPr="00B67655">
        <w:rPr>
          <w:rFonts w:eastAsiaTheme="minorEastAsia" w:cstheme="minorBidi"/>
          <w:b w:val="0"/>
          <w:bCs w:val="0"/>
          <w:color w:val="auto"/>
        </w:rPr>
        <w:t>-score</w:t>
      </w:r>
      <w:proofErr w:type="gramEnd"/>
      <w:r w:rsidRPr="00B67655">
        <w:rPr>
          <w:rFonts w:eastAsiaTheme="minorEastAsia" w:cstheme="minorBidi"/>
          <w:b w:val="0"/>
          <w:bCs w:val="0"/>
          <w:color w:val="auto"/>
        </w:rPr>
        <w:t xml:space="preserv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 a</w:t>
      </w:r>
      <w:r w:rsidR="008C75B1" w:rsidRPr="00D51D05">
        <w:rPr>
          <w:rFonts w:eastAsiaTheme="minorEastAsia" w:cstheme="minorBidi"/>
          <w:b w:val="0"/>
          <w:bCs w:val="0"/>
          <w:color w:val="auto"/>
        </w:rPr>
        <w:t xml:space="preserve">ll bacterial samples with the same batch number were </w:t>
      </w:r>
      <w:r w:rsidR="003D76B4">
        <w:rPr>
          <w:rFonts w:eastAsiaTheme="minorEastAsia" w:cstheme="minorBidi"/>
          <w:b w:val="0"/>
          <w:bCs w:val="0"/>
          <w:color w:val="auto"/>
        </w:rPr>
        <w:t>grown in parallel</w:t>
      </w:r>
      <w:r w:rsidR="008C75B1" w:rsidRPr="00D51D05">
        <w:rPr>
          <w:rFonts w:eastAsiaTheme="minorEastAsia" w:cstheme="minorBidi"/>
          <w:b w:val="0"/>
          <w:bCs w:val="0"/>
          <w:color w:val="auto"/>
        </w:rPr>
        <w:t xml:space="preserve">. </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proofErr w:type="gramStart"/>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proofErr w:type="gramEnd"/>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61684D6D"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 xml:space="preserve">t present in the mRNA data. Finally, both </w:t>
      </w:r>
      <w:proofErr w:type="gramStart"/>
      <w:r>
        <w:rPr>
          <w:rFonts w:eastAsiaTheme="minorEastAsia" w:cstheme="minorBidi"/>
          <w:b w:val="0"/>
          <w:bCs w:val="0"/>
          <w:color w:val="auto"/>
        </w:rPr>
        <w:t>mRNA and protein data were influenced by batch effects</w:t>
      </w:r>
      <w:proofErr w:type="gramEnd"/>
      <w:r>
        <w:rPr>
          <w:rFonts w:eastAsiaTheme="minorEastAsia" w:cstheme="minorBidi"/>
          <w:b w:val="0"/>
          <w:bCs w:val="0"/>
          <w:color w:val="auto"/>
        </w:rPr>
        <w:t>,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FFCD1F"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28F75E67"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w:t>
      </w:r>
      <w:r w:rsidR="00D40704">
        <w:t xml:space="preserve"> for the carbon source glycerol </w:t>
      </w:r>
      <w:r w:rsidR="00D40704" w:rsidRPr="00262505">
        <w:rPr>
          <w:color w:val="000000" w:themeColor="text1"/>
        </w:rPr>
        <w:t>(Figure 4).</w:t>
      </w:r>
    </w:p>
    <w:p w14:paraId="62E2E73F" w14:textId="77777777" w:rsidR="003A289C" w:rsidRPr="009C6843" w:rsidRDefault="003A289C" w:rsidP="003A289C"/>
    <w:p w14:paraId="180A6616" w14:textId="10D8E43C"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w:t>
      </w:r>
      <w:proofErr w:type="spellStart"/>
      <w:r w:rsidRPr="009C6843">
        <w:t>gluconate</w:t>
      </w:r>
      <w:proofErr w:type="spellEnd"/>
      <w:r w:rsidRPr="009C6843">
        <w:t xml:space="preserv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5). By contrast, at the protein level, there was more overlap between Na stress and either Mg stress or carbon source, </w:t>
      </w:r>
      <w:r w:rsidR="00092E0B">
        <w:t>in particular in exponential phase (Figure 5).</w:t>
      </w:r>
    </w:p>
    <w:p w14:paraId="555664F3" w14:textId="77777777" w:rsidR="009F4A72" w:rsidRPr="009C6843" w:rsidRDefault="009F4A72" w:rsidP="005E0DA3"/>
    <w:p w14:paraId="59978833" w14:textId="4071C40C"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9E12B3" w:rsidRPr="001477BA">
        <w:t>Su</w:t>
      </w:r>
      <w:r w:rsidR="00FF43E9" w:rsidRPr="001477BA">
        <w:t>pplementary tables 6 and 7 show</w:t>
      </w:r>
      <w:r w:rsidR="009E12B3" w:rsidRPr="001477BA">
        <w:t xml:space="preserve"> </w:t>
      </w:r>
      <w:r w:rsidR="00FF43E9" w:rsidRPr="001477BA">
        <w:t xml:space="preserve">the </w:t>
      </w:r>
      <w:r w:rsidR="009E12B3" w:rsidRPr="001477BA">
        <w:t xml:space="preserve">top 5 significantly altered </w:t>
      </w:r>
      <w:r w:rsidR="006267EB" w:rsidRPr="001477BA">
        <w:t xml:space="preserve">biological pathways </w:t>
      </w:r>
      <w:r w:rsidR="009E12B3" w:rsidRPr="001477BA">
        <w:t>molecular function</w:t>
      </w:r>
      <w:r w:rsidRPr="001477BA">
        <w:t xml:space="preserve">s under different conditions, as 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p>
    <w:p w14:paraId="2F8DA8B0" w14:textId="77777777" w:rsidR="00CB1E8D" w:rsidRDefault="00CB1E8D" w:rsidP="005E0DA3">
      <w:pPr>
        <w:rPr>
          <w:color w:val="0000FF"/>
        </w:rPr>
      </w:pPr>
    </w:p>
    <w:p w14:paraId="7F8BB649" w14:textId="69E92396" w:rsidR="001477BA" w:rsidRPr="001477BA" w:rsidRDefault="001477BA" w:rsidP="001477BA">
      <w:r w:rsidRPr="001477BA">
        <w:t>Finally, we looked at individual, differentially expressed genes associated with specific pathways and/or functions (Supplementary F</w:t>
      </w:r>
      <w:r w:rsidR="009E12B3" w:rsidRPr="001477BA">
        <w:t>igures</w:t>
      </w:r>
      <w:r w:rsidR="00FF43E9" w:rsidRPr="001477BA">
        <w:t xml:space="preserve"> </w:t>
      </w:r>
      <w:r w:rsidR="00810298" w:rsidRPr="001477BA">
        <w:t>1</w:t>
      </w:r>
      <w:r w:rsidR="00BE15CA" w:rsidRPr="001477BA">
        <w:t>–</w:t>
      </w:r>
      <w:r w:rsidR="00810298" w:rsidRPr="001477BA">
        <w:t>39</w:t>
      </w:r>
      <w:r w:rsidRPr="001477BA">
        <w:t>)</w:t>
      </w:r>
      <w:r w:rsidR="009E12B3" w:rsidRPr="001477BA">
        <w:t xml:space="preserve">. </w:t>
      </w:r>
      <w:r w:rsidRPr="001477BA">
        <w:t>To provide a few examples,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Na</w:t>
      </w:r>
      <w:r w:rsidR="00790C42" w:rsidRPr="001477BA">
        <w:rPr>
          <w:vertAlign w:val="superscript"/>
        </w:rPr>
        <w:t>+1</w:t>
      </w:r>
      <w:r w:rsidR="00810298" w:rsidRPr="001477BA">
        <w:t xml:space="preserve"> and </w:t>
      </w:r>
      <w:r w:rsidR="00790C42" w:rsidRPr="001477BA">
        <w:t>high Mg</w:t>
      </w:r>
      <w:r w:rsidR="00790C42" w:rsidRPr="001477BA">
        <w:rPr>
          <w:vertAlign w:val="superscript"/>
        </w:rPr>
        <w:t>+2</w:t>
      </w:r>
      <w:r w:rsidR="00790C42" w:rsidRPr="001477BA">
        <w:t xml:space="preserve"> </w:t>
      </w:r>
      <w:r w:rsidR="00810298" w:rsidRPr="001477BA">
        <w:t>concentrations</w:t>
      </w:r>
      <w:r w:rsidR="00790C42" w:rsidRPr="001477BA">
        <w:t xml:space="preserve"> in exponential phase</w:t>
      </w:r>
      <w:r w:rsidRPr="001477BA">
        <w:t xml:space="preserve"> are shown in F</w:t>
      </w:r>
      <w:r w:rsidR="00790C42" w:rsidRPr="001477BA">
        <w:t xml:space="preserve">igures 6 and 7. </w:t>
      </w:r>
      <w:r w:rsidRPr="001477BA">
        <w:t xml:space="preserve">Almost all of </w:t>
      </w:r>
      <w:r w:rsidR="00790C42" w:rsidRPr="001477BA">
        <w:t xml:space="preserve">the most altered </w:t>
      </w:r>
      <w:r w:rsidRPr="001477BA">
        <w:t xml:space="preserve">genes are significantly </w:t>
      </w:r>
      <w:proofErr w:type="gramStart"/>
      <w:r w:rsidRPr="001477BA">
        <w:t>down-</w:t>
      </w:r>
      <w:r w:rsidR="00790C42" w:rsidRPr="001477BA">
        <w:t>regulated</w:t>
      </w:r>
      <w:proofErr w:type="gramEnd"/>
      <w:r w:rsidR="00790C42" w:rsidRPr="001477BA">
        <w:t xml:space="preserve"> in both situations</w:t>
      </w:r>
      <w:r w:rsidRPr="001477BA">
        <w:t xml:space="preserve">. By contrast, </w:t>
      </w:r>
    </w:p>
    <w:p w14:paraId="38C92860" w14:textId="4225AA8A" w:rsidR="006E4EDD" w:rsidRPr="00271881" w:rsidRDefault="009D4F6B" w:rsidP="005E0DA3">
      <w:proofErr w:type="gramStart"/>
      <w:r w:rsidRPr="001477BA">
        <w:t>high</w:t>
      </w:r>
      <w:proofErr w:type="gramEnd"/>
      <w:r w:rsidRPr="001477BA">
        <w:t xml:space="preserve"> Mg</w:t>
      </w:r>
      <w:r w:rsidR="001477BA" w:rsidRPr="001477BA">
        <w:rPr>
          <w:vertAlign w:val="superscript"/>
        </w:rPr>
        <w:t>+2</w:t>
      </w:r>
      <w:r w:rsidRPr="001477BA">
        <w:t xml:space="preserve"> concentra</w:t>
      </w:r>
      <w:r w:rsidR="001477BA" w:rsidRPr="001477BA">
        <w:t>tions in stationary phase caused up-</w:t>
      </w:r>
      <w:r w:rsidRPr="001477BA">
        <w:t xml:space="preserve">regulation of </w:t>
      </w:r>
      <w:r w:rsidR="00427E9A">
        <w:t>many metabolism-related genes</w:t>
      </w:r>
      <w:r w:rsidRPr="001477BA">
        <w:t xml:space="preserve"> </w:t>
      </w:r>
      <w:r w:rsidR="008272F5" w:rsidRPr="001477BA">
        <w:t>(F</w:t>
      </w:r>
      <w:r w:rsidR="00EA61CF" w:rsidRPr="001477BA">
        <w:t xml:space="preserve">igure </w:t>
      </w:r>
      <w:r w:rsidRPr="001477BA">
        <w:t>8</w:t>
      </w:r>
      <w:r w:rsidR="00625119" w:rsidRPr="001477BA">
        <w:t>)</w:t>
      </w:r>
      <w:r w:rsidR="00427E9A">
        <w:rPr>
          <w:color w:val="0000FF"/>
        </w:rPr>
        <w:t xml:space="preserve">. </w:t>
      </w:r>
      <w:bookmarkStart w:id="1" w:name="_GoBack"/>
      <w:r w:rsidR="00427E9A" w:rsidRPr="00271881">
        <w:t xml:space="preserve">This finding goes against the broader trend of down-regulation of metabolism-related genes </w:t>
      </w:r>
      <w:r w:rsidR="00271881" w:rsidRPr="00271881">
        <w:t>under salt stress</w:t>
      </w:r>
      <w:r w:rsidR="00794E3C" w:rsidRPr="00271881">
        <w:t xml:space="preserve"> (Figure 9)</w:t>
      </w:r>
      <w:r w:rsidR="00E6439A" w:rsidRPr="00271881">
        <w:t>.</w:t>
      </w:r>
    </w:p>
    <w:p w14:paraId="77D5FF8A" w14:textId="77777777" w:rsidR="004A3752" w:rsidRPr="00271881" w:rsidRDefault="004A3752" w:rsidP="005E0DA3">
      <w:pPr>
        <w:rPr>
          <w:i/>
        </w:rPr>
      </w:pPr>
    </w:p>
    <w:bookmarkEnd w:id="1"/>
    <w:p w14:paraId="614F0B68" w14:textId="30759163" w:rsidR="00877C56" w:rsidRPr="00877C56" w:rsidRDefault="00877C56" w:rsidP="005E0DA3">
      <w:pPr>
        <w:rPr>
          <w:i/>
          <w:color w:val="FF0000"/>
        </w:rPr>
      </w:pPr>
      <w:r w:rsidRPr="00877C56">
        <w:rPr>
          <w:i/>
          <w:color w:val="FF0000"/>
        </w:rPr>
        <w:t>Figure 8 and 9 need to be swapped in the figures document.</w:t>
      </w:r>
    </w:p>
    <w:p w14:paraId="0D0BCD43" w14:textId="70ED617B" w:rsidR="0040122D" w:rsidRDefault="006E46BD" w:rsidP="004F79A2">
      <w:pPr>
        <w:pStyle w:val="Heading2"/>
      </w:pPr>
      <w:r>
        <w:t>Discussion</w:t>
      </w:r>
    </w:p>
    <w:p w14:paraId="0E932949" w14:textId="77777777" w:rsidR="004F79A2" w:rsidRDefault="004F79A2" w:rsidP="004F79A2"/>
    <w:p w14:paraId="6B073D37" w14:textId="0E90132A"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xml:space="preserve">, and growth into deep stationary phase, up to two weeks post inoculation. We have found that gene regulation changes the most with respect to growth phase; in general, the exponential phase </w:t>
      </w:r>
      <w:proofErr w:type="gramStart"/>
      <w:r>
        <w:t>under</w:t>
      </w:r>
      <w:proofErr w:type="gramEnd"/>
      <w:r>
        <w:t xml:space="preserve">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w:t>
      </w:r>
      <w:proofErr w:type="gramStart"/>
      <w:r>
        <w:t>down-regulated</w:t>
      </w:r>
      <w:proofErr w:type="gramEnd"/>
      <w:r>
        <w:t xml:space="preserve">,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114E90A"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proofErr w:type="gramStart"/>
      <w:r w:rsidR="006B7B8D" w:rsidRPr="006B7B8D">
        <w:rPr>
          <w:color w:val="000000" w:themeColor="text1"/>
        </w:rPr>
        <w:t>mRNA</w:t>
      </w:r>
      <w:proofErr w:type="gramEnd"/>
      <w:r w:rsidR="006B7B8D" w:rsidRPr="006B7B8D">
        <w:rPr>
          <w:color w:val="000000" w:themeColor="text1"/>
        </w:rPr>
        <w:t xml:space="preserve">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same genotype throughout</w:t>
      </w:r>
      <w:r w:rsidRPr="00316923">
        <w:rPr>
          <w:color w:val="000000" w:themeColor="text1"/>
        </w:rPr>
        <w:t>.</w:t>
      </w:r>
    </w:p>
    <w:p w14:paraId="0764EB1B" w14:textId="77777777" w:rsidR="00BB570B" w:rsidRDefault="00BB570B" w:rsidP="00776B56"/>
    <w:p w14:paraId="439957B6" w14:textId="290C7DCB"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8146CA" w:rsidRPr="0046734B">
        <w:rPr>
          <w:color w:val="000000" w:themeColor="text1"/>
        </w:rPr>
        <w:t>23.99)</w:t>
      </w:r>
      <w:r w:rsidR="0046734B" w:rsidRPr="008D4D86">
        <w:rPr>
          <w:color w:val="000000" w:themeColor="text1"/>
        </w:rPr>
        <w:t xml:space="preserve"> whereas proteins were</w:t>
      </w:r>
      <w:r w:rsidR="008D4D86" w:rsidRPr="008D4D86">
        <w:rPr>
          <w:color w:val="000000" w:themeColor="text1"/>
        </w:rPr>
        <w:t xml:space="preserve"> much less so (</w:t>
      </w:r>
      <w:r w:rsidR="008D4D86" w:rsidRPr="008D4D86">
        <w:rPr>
          <w:i/>
          <w:color w:val="000000" w:themeColor="text1"/>
        </w:rPr>
        <w:t>z</w:t>
      </w:r>
      <w:r w:rsidR="008D4D86" w:rsidRPr="008D4D86">
        <w:rPr>
          <w:color w:val="000000" w:themeColor="text1"/>
        </w:rPr>
        <w:t xml:space="preserve"> = −4.21)</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8146CA" w:rsidRPr="008D4D86">
        <w:rPr>
          <w:color w:val="000000" w:themeColor="text1"/>
        </w:rPr>
        <w:t>Na</w:t>
      </w:r>
      <w:r w:rsidR="008D4D86" w:rsidRPr="008D4D86">
        <w:rPr>
          <w:color w:val="000000" w:themeColor="text1"/>
          <w:vertAlign w:val="superscript"/>
        </w:rPr>
        <w:t>+1</w:t>
      </w:r>
      <w:r w:rsidR="008146CA" w:rsidRPr="008D4D86">
        <w:rPr>
          <w:color w:val="000000" w:themeColor="text1"/>
        </w:rPr>
        <w:t xml:space="preserve"> levels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4.78)</w:t>
      </w:r>
      <w:r w:rsidR="008D4D86" w:rsidRPr="008D4D86">
        <w:rPr>
          <w:color w:val="000000" w:themeColor="text1"/>
        </w:rPr>
        <w:t xml:space="preserve"> and </w:t>
      </w:r>
      <w:r w:rsidR="008146CA" w:rsidRPr="008D4D86">
        <w:rPr>
          <w:color w:val="000000" w:themeColor="text1"/>
        </w:rPr>
        <w:t>carbon source (</w:t>
      </w:r>
      <w:r w:rsidR="008146CA" w:rsidRPr="008D4D86">
        <w:rPr>
          <w:i/>
          <w:color w:val="000000" w:themeColor="text1"/>
        </w:rPr>
        <w:t>z</w:t>
      </w:r>
      <w:r w:rsidR="00472806" w:rsidRPr="008D4D86">
        <w:rPr>
          <w:color w:val="000000" w:themeColor="text1"/>
        </w:rPr>
        <w:t xml:space="preserve"> </w:t>
      </w:r>
      <w:r w:rsidR="008146CA"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3.25)</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8D4D86"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 xml:space="preserve">found that energy-intensive processes were down-regulated and </w:t>
      </w:r>
      <w:commentRangeStart w:id="2"/>
      <w:r w:rsidR="00092BE1">
        <w:rPr>
          <w:color w:val="000000" w:themeColor="text1"/>
        </w:rPr>
        <w:t>stress-response proteins up-regulated</w:t>
      </w:r>
      <w:commentRangeEnd w:id="2"/>
      <w:r w:rsidR="00092BE1">
        <w:rPr>
          <w:rStyle w:val="CommentReference"/>
        </w:rPr>
        <w:commentReference w:id="2"/>
      </w:r>
      <w:r w:rsidR="00092BE1">
        <w:rPr>
          <w:color w:val="000000" w:themeColor="text1"/>
        </w:rPr>
        <w:t xml:space="preserve">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w:t>
      </w:r>
      <w:proofErr w:type="spellStart"/>
      <w:r w:rsidR="00736DF0" w:rsidRPr="00FC3461">
        <w:t>flagellar</w:t>
      </w:r>
      <w:proofErr w:type="spellEnd"/>
      <w:r w:rsidR="00736DF0" w:rsidRPr="00FC3461">
        <w:t xml:space="preserve"> assembly, nucleotide related pathways such as RNA </w:t>
      </w:r>
      <w:proofErr w:type="spellStart"/>
      <w:r w:rsidR="00736DF0" w:rsidRPr="00FC3461">
        <w:t>degredation</w:t>
      </w:r>
      <w:proofErr w:type="spellEnd"/>
      <w:r w:rsidR="00736DF0" w:rsidRPr="00FC3461">
        <w:t xml:space="preserve">, </w:t>
      </w:r>
      <w:r w:rsidR="00FC3461" w:rsidRPr="00FC3461">
        <w:t xml:space="preserve">and </w:t>
      </w:r>
      <w:proofErr w:type="spellStart"/>
      <w:r w:rsidR="00736DF0" w:rsidRPr="00FC3461">
        <w:t>aminoacyl-tRNA</w:t>
      </w:r>
      <w:proofErr w:type="spellEnd"/>
      <w:r w:rsidR="00736DF0" w:rsidRPr="00FC3461">
        <w:t xml:space="preserve">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3660C005" w14:textId="3E65CA33" w:rsidR="00733208" w:rsidRDefault="00B1782E" w:rsidP="00733208">
      <w:pPr>
        <w:rPr>
          <w:color w:val="000000" w:themeColor="text1"/>
        </w:rPr>
      </w:pPr>
      <w:r>
        <w:rPr>
          <w:color w:val="000000" w:themeColor="text1"/>
        </w:rPr>
        <w:t>For all growth conditions we observed patterns of altered gene expression consisten</w:t>
      </w:r>
      <w:r w:rsidR="007A5EFF">
        <w:rPr>
          <w:color w:val="000000" w:themeColor="text1"/>
        </w:rPr>
        <w:t>t with the known function of specific</w:t>
      </w:r>
      <w:r>
        <w:rPr>
          <w:color w:val="000000" w:themeColor="text1"/>
        </w:rPr>
        <w:t xml:space="preserve"> differentially expressed genes. </w:t>
      </w:r>
      <w:r w:rsidR="00A64989">
        <w:rPr>
          <w:color w:val="000000" w:themeColor="text1"/>
        </w:rPr>
        <w:t xml:space="preserve">For example, </w:t>
      </w:r>
      <w:r w:rsidRPr="009B780F">
        <w:rPr>
          <w:color w:val="000000" w:themeColor="text1"/>
        </w:rPr>
        <w:t>under Na</w:t>
      </w:r>
      <w:r w:rsidRPr="009B780F">
        <w:rPr>
          <w:color w:val="000000" w:themeColor="text1"/>
          <w:vertAlign w:val="superscript"/>
        </w:rPr>
        <w:t>+1</w:t>
      </w:r>
      <w:r w:rsidRPr="009B780F">
        <w:rPr>
          <w:color w:val="000000" w:themeColor="text1"/>
        </w:rPr>
        <w:t xml:space="preserve"> stress</w:t>
      </w:r>
      <w:r>
        <w:rPr>
          <w:color w:val="000000" w:themeColor="text1"/>
        </w:rPr>
        <w:t xml:space="preserve"> </w:t>
      </w:r>
      <w:r w:rsidR="00A64989">
        <w:rPr>
          <w:color w:val="000000" w:themeColor="text1"/>
        </w:rPr>
        <w:t xml:space="preserve">we saw </w:t>
      </w:r>
      <w:r w:rsidR="00A64989" w:rsidRPr="009B780F">
        <w:rPr>
          <w:color w:val="000000" w:themeColor="text1"/>
        </w:rPr>
        <w:t xml:space="preserve">up-regulation of </w:t>
      </w:r>
      <w:proofErr w:type="spellStart"/>
      <w:r w:rsidR="00A64989" w:rsidRPr="009B780F">
        <w:rPr>
          <w:color w:val="000000" w:themeColor="text1"/>
        </w:rPr>
        <w:t>tktB</w:t>
      </w:r>
      <w:proofErr w:type="spellEnd"/>
      <w:r w:rsidR="00A64989" w:rsidRPr="009B780F">
        <w:rPr>
          <w:color w:val="000000" w:themeColor="text1"/>
        </w:rPr>
        <w:t xml:space="preserve"> and </w:t>
      </w:r>
      <w:proofErr w:type="spellStart"/>
      <w:r w:rsidR="00A64989" w:rsidRPr="009B780F">
        <w:rPr>
          <w:color w:val="000000" w:themeColor="text1"/>
        </w:rPr>
        <w:t>talA</w:t>
      </w:r>
      <w:proofErr w:type="spellEnd"/>
      <w:r w:rsidR="00A64989">
        <w:rPr>
          <w:color w:val="000000" w:themeColor="text1"/>
        </w:rPr>
        <w:t xml:space="preserve">, 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9B780F" w:rsidRPr="009B780F">
        <w:rPr>
          <w:color w:val="000000" w:themeColor="text1"/>
        </w:rPr>
        <w:t xml:space="preserve">We also saw many </w:t>
      </w:r>
      <w:r w:rsidR="00B2041C" w:rsidRPr="009B780F">
        <w:rPr>
          <w:color w:val="000000" w:themeColor="text1"/>
        </w:rPr>
        <w:t>changes in ABC transporter expression</w:t>
      </w:r>
      <w:r w:rsidR="009B780F" w:rsidRPr="009B780F">
        <w:rPr>
          <w:color w:val="000000" w:themeColor="text1"/>
        </w:rPr>
        <w:t xml:space="preserve"> </w:t>
      </w:r>
      <w:commentRangeStart w:id="3"/>
      <w:r w:rsidR="009B780F" w:rsidRPr="009B780F">
        <w:rPr>
          <w:color w:val="000000" w:themeColor="text1"/>
        </w:rPr>
        <w:t>under</w:t>
      </w:r>
      <w:r>
        <w:rPr>
          <w:color w:val="000000" w:themeColor="text1"/>
        </w:rPr>
        <w:t xml:space="preserve"> both </w:t>
      </w:r>
      <w:r w:rsidRPr="009B780F">
        <w:rPr>
          <w:color w:val="000000" w:themeColor="text1"/>
        </w:rPr>
        <w:t>Na</w:t>
      </w:r>
      <w:r w:rsidRPr="009B780F">
        <w:rPr>
          <w:color w:val="000000" w:themeColor="text1"/>
          <w:vertAlign w:val="superscript"/>
        </w:rPr>
        <w:t>+1</w:t>
      </w:r>
      <w:r w:rsidRPr="009B780F">
        <w:rPr>
          <w:color w:val="000000" w:themeColor="text1"/>
        </w:rPr>
        <w:t xml:space="preserve"> stress</w:t>
      </w:r>
      <w:r>
        <w:rPr>
          <w:color w:val="000000" w:themeColor="text1"/>
        </w:rPr>
        <w:t xml:space="preserve"> and </w:t>
      </w:r>
      <w:r w:rsidRPr="009B780F">
        <w:rPr>
          <w:color w:val="000000" w:themeColor="text1"/>
        </w:rPr>
        <w:t>Mg</w:t>
      </w:r>
      <w:r w:rsidRPr="009B780F">
        <w:rPr>
          <w:color w:val="000000" w:themeColor="text1"/>
          <w:vertAlign w:val="superscript"/>
        </w:rPr>
        <w:t>+2</w:t>
      </w:r>
      <w:r w:rsidR="009B780F" w:rsidRPr="009B780F">
        <w:rPr>
          <w:color w:val="000000" w:themeColor="text1"/>
        </w:rPr>
        <w:t xml:space="preserve"> stress</w:t>
      </w:r>
      <w:commentRangeEnd w:id="3"/>
      <w:r>
        <w:rPr>
          <w:rStyle w:val="CommentReference"/>
        </w:rPr>
        <w:commentReference w:id="3"/>
      </w:r>
      <w:r w:rsidR="00112B0F">
        <w:rPr>
          <w:color w:val="000000" w:themeColor="text1"/>
        </w:rPr>
        <w:t xml:space="preserve">. </w:t>
      </w:r>
      <w:r w:rsidR="00B2041C" w:rsidRPr="009B780F">
        <w:rPr>
          <w:color w:val="000000" w:themeColor="text1"/>
        </w:rPr>
        <w:t>In particular, low Mg</w:t>
      </w:r>
      <w:r w:rsidR="00481646" w:rsidRPr="009B780F">
        <w:rPr>
          <w:color w:val="000000" w:themeColor="text1"/>
          <w:vertAlign w:val="superscript"/>
        </w:rPr>
        <w:t>+</w:t>
      </w:r>
      <w:r w:rsidR="00B2041C" w:rsidRPr="009B780F">
        <w:rPr>
          <w:color w:val="000000" w:themeColor="text1"/>
          <w:vertAlign w:val="superscript"/>
        </w:rPr>
        <w:t>2</w:t>
      </w:r>
      <w:r w:rsidR="00B2041C" w:rsidRPr="009B780F">
        <w:rPr>
          <w:color w:val="000000" w:themeColor="text1"/>
        </w:rPr>
        <w:t xml:space="preserve"> concentrations cause</w:t>
      </w:r>
      <w:r w:rsidR="00A64989">
        <w:rPr>
          <w:color w:val="000000" w:themeColor="text1"/>
        </w:rPr>
        <w:t>d</w:t>
      </w:r>
      <w:r w:rsidR="00B2041C" w:rsidRPr="009B780F">
        <w:rPr>
          <w:color w:val="000000" w:themeColor="text1"/>
        </w:rPr>
        <w:t xml:space="preserve"> a decrease in the </w:t>
      </w:r>
      <w:proofErr w:type="spellStart"/>
      <w:r w:rsidR="00B2041C" w:rsidRPr="009B780F">
        <w:rPr>
          <w:color w:val="000000" w:themeColor="text1"/>
        </w:rPr>
        <w:t>fec</w:t>
      </w:r>
      <w:proofErr w:type="spellEnd"/>
      <w:r w:rsidR="00B2041C" w:rsidRPr="009B780F">
        <w:rPr>
          <w:color w:val="000000" w:themeColor="text1"/>
        </w:rPr>
        <w:t xml:space="preserve"> opero</w:t>
      </w:r>
      <w:r w:rsidR="00112B0F">
        <w:rPr>
          <w:color w:val="000000" w:themeColor="text1"/>
        </w:rPr>
        <w:t>n</w:t>
      </w:r>
      <w:r w:rsidR="00A64989">
        <w:rPr>
          <w:color w:val="000000" w:themeColor="text1"/>
        </w:rPr>
        <w:t xml:space="preserve"> involved in iron transport. </w:t>
      </w:r>
      <w:r w:rsidR="00112B0F">
        <w:rPr>
          <w:color w:val="000000" w:themeColor="text1"/>
        </w:rPr>
        <w:t>A possible explanation is that</w:t>
      </w:r>
      <w:r w:rsidR="00B2041C" w:rsidRPr="009B780F">
        <w:rPr>
          <w:color w:val="000000" w:themeColor="text1"/>
        </w:rPr>
        <w:t xml:space="preserve"> magnesium transporters are permeab</w:t>
      </w:r>
      <w:r w:rsidR="002A1375" w:rsidRPr="009B780F">
        <w:rPr>
          <w:color w:val="000000" w:themeColor="text1"/>
        </w:rPr>
        <w:t>le to ferrous iron</w:t>
      </w:r>
      <w:r w:rsidR="00112B0F" w:rsidRPr="009B780F">
        <w:rPr>
          <w:color w:val="000000" w:themeColor="text1"/>
        </w:rPr>
        <w:t xml:space="preserve"> at low magnesium concentrations</w:t>
      </w:r>
      <w:r w:rsidR="00112B0F">
        <w:rPr>
          <w:color w:val="000000" w:themeColor="text1"/>
        </w:rPr>
        <w:t xml:space="preserve"> </w:t>
      </w:r>
      <w:r w:rsidR="002A1375" w:rsidRPr="009B780F">
        <w:rPr>
          <w:color w:val="000000" w:themeColor="text1"/>
        </w:rPr>
        <w:fldChar w:fldCharType="begin"/>
      </w:r>
      <w:r w:rsidR="002A1375" w:rsidRPr="009B780F">
        <w:rPr>
          <w:color w:val="000000" w:themeColor="text1"/>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9B780F">
        <w:rPr>
          <w:color w:val="000000" w:themeColor="text1"/>
        </w:rPr>
        <w:fldChar w:fldCharType="separate"/>
      </w:r>
      <w:r w:rsidR="002A1375" w:rsidRPr="009B780F">
        <w:rPr>
          <w:noProof/>
          <w:color w:val="000000" w:themeColor="text1"/>
        </w:rPr>
        <w:t>(Hantke 1997)</w:t>
      </w:r>
      <w:r w:rsidR="002A1375" w:rsidRPr="009B780F">
        <w:rPr>
          <w:color w:val="000000" w:themeColor="text1"/>
        </w:rPr>
        <w:fldChar w:fldCharType="end"/>
      </w:r>
      <w:r w:rsidR="00A64989">
        <w:rPr>
          <w:color w:val="000000" w:themeColor="text1"/>
        </w:rPr>
        <w:t>,</w:t>
      </w:r>
      <w:r w:rsidR="00B2041C" w:rsidRPr="009B780F">
        <w:rPr>
          <w:color w:val="000000" w:themeColor="text1"/>
        </w:rPr>
        <w:t xml:space="preserve"> and a down</w:t>
      </w:r>
      <w:r w:rsidR="00A64989">
        <w:rPr>
          <w:color w:val="000000" w:themeColor="text1"/>
        </w:rPr>
        <w:t>-</w:t>
      </w:r>
      <w:r w:rsidR="00B2041C" w:rsidRPr="009B780F">
        <w:rPr>
          <w:color w:val="000000" w:themeColor="text1"/>
        </w:rPr>
        <w:t>re</w:t>
      </w:r>
      <w:r w:rsidR="00112B0F">
        <w:rPr>
          <w:color w:val="000000" w:themeColor="text1"/>
        </w:rPr>
        <w:t>gulation of iron transporters may be</w:t>
      </w:r>
      <w:r w:rsidR="00B2041C" w:rsidRPr="009B780F">
        <w:rPr>
          <w:color w:val="000000" w:themeColor="text1"/>
        </w:rPr>
        <w:t xml:space="preserve"> needed to compensate.  The f</w:t>
      </w:r>
      <w:r w:rsidR="00112B0F">
        <w:rPr>
          <w:color w:val="000000" w:themeColor="text1"/>
        </w:rPr>
        <w:t>act that many ABC transporters we</w:t>
      </w:r>
      <w:r w:rsidR="00B2041C" w:rsidRPr="009B780F">
        <w:rPr>
          <w:color w:val="000000" w:themeColor="text1"/>
        </w:rPr>
        <w:t>re affected by salt concentrations may be indicative of other transporters that are leaky to off-target ions</w:t>
      </w:r>
      <w:r w:rsidR="00112B0F">
        <w:rPr>
          <w:color w:val="000000" w:themeColor="text1"/>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4237D08F"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w:t>
      </w:r>
      <w:proofErr w:type="spellStart"/>
      <w:r w:rsidR="00481646" w:rsidRPr="00E932B2">
        <w:rPr>
          <w:color w:val="000000" w:themeColor="text1"/>
        </w:rPr>
        <w:t>glp</w:t>
      </w:r>
      <w:proofErr w:type="spellEnd"/>
      <w:r w:rsidR="00481646" w:rsidRPr="00E932B2">
        <w:rPr>
          <w:color w:val="000000" w:themeColor="text1"/>
        </w:rPr>
        <w:t xml:space="preserve">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xml:space="preserve">.  </w:t>
      </w:r>
      <w:proofErr w:type="spellStart"/>
      <w:r w:rsidR="00481646" w:rsidRPr="00E932B2">
        <w:rPr>
          <w:color w:val="000000" w:themeColor="text1"/>
        </w:rPr>
        <w:t>Glucon</w:t>
      </w:r>
      <w:r w:rsidR="00E932B2">
        <w:rPr>
          <w:color w:val="000000" w:themeColor="text1"/>
        </w:rPr>
        <w:t>ate</w:t>
      </w:r>
      <w:proofErr w:type="spellEnd"/>
      <w:r w:rsidR="00E932B2">
        <w:rPr>
          <w:color w:val="000000" w:themeColor="text1"/>
        </w:rPr>
        <w:t xml:space="preserve"> as a carbon source increased</w:t>
      </w:r>
      <w:r w:rsidR="00481646" w:rsidRPr="00E932B2">
        <w:rPr>
          <w:color w:val="000000" w:themeColor="text1"/>
        </w:rPr>
        <w:t xml:space="preserve"> expression of the </w:t>
      </w:r>
      <w:proofErr w:type="spellStart"/>
      <w:r w:rsidR="00481646" w:rsidRPr="00E932B2">
        <w:rPr>
          <w:color w:val="000000" w:themeColor="text1"/>
        </w:rPr>
        <w:t>gtn</w:t>
      </w:r>
      <w:proofErr w:type="spellEnd"/>
      <w:r w:rsidR="00481646" w:rsidRPr="00E932B2">
        <w:rPr>
          <w:color w:val="000000" w:themeColor="text1"/>
        </w:rPr>
        <w:t xml:space="preserve"> and </w:t>
      </w:r>
      <w:proofErr w:type="spellStart"/>
      <w:r w:rsidR="00481646" w:rsidRPr="00E932B2">
        <w:rPr>
          <w:color w:val="000000" w:themeColor="text1"/>
        </w:rPr>
        <w:t>idn</w:t>
      </w:r>
      <w:proofErr w:type="spellEnd"/>
      <w:r w:rsidR="00481646" w:rsidRPr="00E932B2">
        <w:rPr>
          <w:color w:val="000000" w:themeColor="text1"/>
        </w:rPr>
        <w:t xml:space="preserve"> operons, both involved in </w:t>
      </w:r>
      <w:proofErr w:type="spellStart"/>
      <w:r w:rsidR="00481646" w:rsidRPr="00E932B2">
        <w:rPr>
          <w:color w:val="000000" w:themeColor="text1"/>
        </w:rPr>
        <w:t>gluconate</w:t>
      </w:r>
      <w:proofErr w:type="spellEnd"/>
      <w:r w:rsidR="00481646" w:rsidRPr="00E932B2">
        <w:rPr>
          <w:color w:val="000000" w:themeColor="text1"/>
        </w:rPr>
        <w:t xml:space="preserv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6166DD65" w:rsidR="00C90590" w:rsidRPr="00504F91" w:rsidRDefault="00750FC0" w:rsidP="00C90590">
      <w:pPr>
        <w:tabs>
          <w:tab w:val="left" w:pos="3637"/>
        </w:tabs>
        <w:rPr>
          <w:color w:val="0000FF"/>
        </w:rPr>
      </w:pPr>
      <w:r w:rsidRPr="0036081D">
        <w:t>It is well known from large-scale</w:t>
      </w:r>
      <w:r w:rsidR="0036081D" w:rsidRPr="0036081D">
        <w:t>,</w:t>
      </w:r>
      <w:r w:rsidR="0036081D">
        <w:t xml:space="preserve"> high-throughput gene-expression studies </w:t>
      </w:r>
      <w:proofErr w:type="gramStart"/>
      <w:r w:rsidR="0036081D">
        <w:t xml:space="preserve">that </w:t>
      </w:r>
      <w:r w:rsidR="0015350C">
        <w:t>measurements are frequently</w:t>
      </w:r>
      <w:r w:rsidR="005B6450">
        <w:t xml:space="preserve"> confounded by batch effects</w:t>
      </w:r>
      <w:proofErr w:type="gramEnd"/>
      <w:r w:rsidR="00006B59">
        <w:t xml:space="preserve"> (</w:t>
      </w:r>
      <w:r w:rsidR="00006B59" w:rsidRPr="00006B59">
        <w:rPr>
          <w:highlight w:val="yellow"/>
        </w:rPr>
        <w:t>refs</w:t>
      </w:r>
      <w:r w:rsidR="00006B59">
        <w:t>)</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−23.39 and −2.82, respectively). </w:t>
      </w:r>
      <w:r w:rsidR="0015350C">
        <w:t>Batch effects are not inherently a problem, as long as we are aware of their existence an</w:t>
      </w:r>
      <w:r w:rsidR="004667CE">
        <w:t>d analyze the data accordingly. Increasingly sophisticated methods are being developed to separate batch effects from real signal in an auto</w:t>
      </w:r>
      <w:r w:rsidR="004667CE" w:rsidRPr="004667CE">
        <w:t>mated fashion</w:t>
      </w:r>
      <w:r w:rsidR="00EB18D9" w:rsidRPr="004667CE">
        <w:t xml:space="preserve"> </w:t>
      </w:r>
      <w:r w:rsidR="009E12B3" w:rsidRPr="004667CE">
        <w:fldChar w:fldCharType="begin"/>
      </w:r>
      <w:r w:rsidR="009E12B3" w:rsidRPr="004667CE">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4667CE">
        <w:fldChar w:fldCharType="separate"/>
      </w:r>
      <w:r w:rsidR="009E12B3" w:rsidRPr="004667CE">
        <w:rPr>
          <w:noProof/>
        </w:rPr>
        <w:t>(Kim, Zorraquino, and Tagkopoulos 2015)</w:t>
      </w:r>
      <w:r w:rsidR="009E12B3" w:rsidRPr="004667CE">
        <w:fldChar w:fldCharType="end"/>
      </w:r>
      <w:r w:rsidR="009E12B3" w:rsidRPr="004667CE">
        <w:t>.</w:t>
      </w:r>
    </w:p>
    <w:p w14:paraId="6E342B66" w14:textId="77777777" w:rsidR="00776B56" w:rsidRPr="004667CE" w:rsidRDefault="00776B56" w:rsidP="00776B56">
      <w:pPr>
        <w:tabs>
          <w:tab w:val="left" w:pos="3637"/>
        </w:tabs>
      </w:pPr>
    </w:p>
    <w:p w14:paraId="5DC1ACA2" w14:textId="6C1B877F" w:rsidR="006E46BD" w:rsidRPr="004667CE"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3F5AF01E" w14:textId="77777777" w:rsidR="0073706D" w:rsidRDefault="0073706D" w:rsidP="0073706D">
      <w:pPr>
        <w:pStyle w:val="Heading2"/>
      </w:pPr>
      <w:r w:rsidRPr="005B5BAD">
        <w:t>Materials and Methods</w:t>
      </w:r>
    </w:p>
    <w:p w14:paraId="4F4C97E7" w14:textId="30AEB371" w:rsidR="00E41A2F" w:rsidRPr="00DF1367" w:rsidRDefault="00E41A2F" w:rsidP="00E41A2F">
      <w:pPr>
        <w:pStyle w:val="Heading3"/>
      </w:pPr>
      <w:r w:rsidRPr="00DF1367">
        <w:t>Cell Growth</w:t>
      </w:r>
      <w:r w:rsidR="000D74E5">
        <w:t xml:space="preserve">, RNA </w:t>
      </w:r>
      <w:proofErr w:type="spellStart"/>
      <w:r w:rsidR="000D74E5">
        <w:t>seq</w:t>
      </w:r>
      <w:proofErr w:type="spellEnd"/>
      <w:r w:rsidR="000D74E5">
        <w:t>,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w:t>
      </w:r>
      <w:proofErr w:type="spellStart"/>
      <w:r>
        <w:t>multiomic</w:t>
      </w:r>
      <w:proofErr w:type="spellEnd"/>
      <w:r>
        <w:t xml:space="preserve">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w:t>
      </w:r>
      <w:proofErr w:type="spellStart"/>
      <w:r>
        <w:t>gluconate</w:t>
      </w:r>
      <w:proofErr w:type="spellEnd"/>
      <w:r>
        <w:t>)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w:t>
      </w:r>
      <w:proofErr w:type="spellStart"/>
      <w:r>
        <w:t>mM</w:t>
      </w:r>
      <w:proofErr w:type="spellEnd"/>
      <w:r>
        <w:t xml:space="preserve"> that is normally present. For tests of different Na</w:t>
      </w:r>
      <w:r w:rsidRPr="0073068B">
        <w:rPr>
          <w:vertAlign w:val="superscript"/>
        </w:rPr>
        <w:t>+</w:t>
      </w:r>
      <w:r>
        <w:t xml:space="preserve"> concentrations, </w:t>
      </w:r>
      <w:proofErr w:type="spellStart"/>
      <w:r>
        <w:t>NaCl</w:t>
      </w:r>
      <w:proofErr w:type="spellEnd"/>
      <w:r>
        <w:t xml:space="preserve"> was added to achieve the final concentration. The base recipe for DM already contains ~5 </w:t>
      </w:r>
      <w:proofErr w:type="spellStart"/>
      <w:r>
        <w:t>mM</w:t>
      </w:r>
      <w:proofErr w:type="spellEnd"/>
      <w:r>
        <w:t xml:space="preserve"> Na</w:t>
      </w:r>
      <w:r w:rsidRPr="0073068B">
        <w:rPr>
          <w:vertAlign w:val="superscript"/>
        </w:rPr>
        <w:t>+</w:t>
      </w:r>
      <w:r w:rsidRPr="00B63C35">
        <w:t xml:space="preserve"> </w:t>
      </w:r>
      <w:r>
        <w:t xml:space="preserve">due to the inclusion of sodium citrate, so 95 </w:t>
      </w:r>
      <w:proofErr w:type="spellStart"/>
      <w:r>
        <w:t>mM</w:t>
      </w:r>
      <w:proofErr w:type="spellEnd"/>
      <w:r>
        <w:t xml:space="preserve"> </w:t>
      </w:r>
      <w:proofErr w:type="spellStart"/>
      <w:r>
        <w:t>NaCl</w:t>
      </w:r>
      <w:proofErr w:type="spellEnd"/>
      <w:r>
        <w:t xml:space="preserve"> was added for the 100 </w:t>
      </w:r>
      <w:proofErr w:type="spellStart"/>
      <w:r>
        <w:t>mM</w:t>
      </w:r>
      <w:proofErr w:type="spellEnd"/>
      <w:r>
        <w:t xml:space="preserve">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8660B36" w:rsidR="002620FC" w:rsidRDefault="002620FC" w:rsidP="00F64495">
      <w:r>
        <w:t xml:space="preserve">After sample collection, RNA </w:t>
      </w:r>
      <w:proofErr w:type="spellStart"/>
      <w:r>
        <w:t>seq</w:t>
      </w:r>
      <w:proofErr w:type="spellEnd"/>
      <w:r>
        <w:t xml:space="preserve"> and mass-spec proteomics were performed exactly as described in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223E2434"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E2605C" w:rsidRPr="00E2605C">
        <w:rPr>
          <w:highlight w:val="yellow"/>
        </w:rPr>
        <w:t>XXX</w:t>
      </w:r>
      <w:r w:rsidR="00E2605C">
        <w:t xml:space="preserve"> samples.</w:t>
      </w:r>
      <w:r w:rsidR="00142373">
        <w:t xml:space="preserve"> </w:t>
      </w:r>
      <w:r w:rsidR="00E2605C">
        <w:t>(</w:t>
      </w:r>
      <w:r w:rsidR="00E2605C" w:rsidRPr="00E2605C">
        <w:rPr>
          <w:highlight w:val="yellow"/>
        </w:rPr>
        <w:t>Is Fig. 1 before or after samples have been excluded?</w:t>
      </w:r>
      <w:r w:rsidR="00E2605C">
        <w:t>)</w:t>
      </w:r>
    </w:p>
    <w:p w14:paraId="5F3AB79A" w14:textId="77777777" w:rsidR="00810B87" w:rsidRDefault="00810B87" w:rsidP="0073706D"/>
    <w:p w14:paraId="1FCC0808" w14:textId="5A79C48E" w:rsidR="00810B87" w:rsidRDefault="00810B87" w:rsidP="00810B87">
      <w:r>
        <w:t xml:space="preserve">After </w:t>
      </w:r>
      <w:r w:rsidR="00E2605C">
        <w:t xml:space="preserve">quality control, we normalized read counts using size-factors calculated via </w:t>
      </w:r>
      <w:proofErr w:type="spellStart"/>
      <w:r w:rsidR="00E2605C">
        <w:t>DeSeq</w:t>
      </w:r>
      <w:proofErr w:type="spellEnd"/>
      <w:r w:rsidR="00E2605C">
        <w:t xml:space="preserve"> (</w:t>
      </w:r>
      <w:r w:rsidR="00E2605C" w:rsidRPr="00E2605C">
        <w:rPr>
          <w:highlight w:val="yellow"/>
        </w:rPr>
        <w:t>reference</w:t>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7777777" w:rsidR="00ED7890" w:rsidRDefault="00ED7890" w:rsidP="00D30269">
      <w:r>
        <w:t xml:space="preserve">We clustered normalized counts based on their </w:t>
      </w:r>
      <w:proofErr w:type="spellStart"/>
      <w:r>
        <w:t>Eucledian</w:t>
      </w:r>
      <w:proofErr w:type="spellEnd"/>
      <w:r>
        <w:t xml:space="preserve"> distance, using the complete linkage method implemented in the </w:t>
      </w:r>
      <w:proofErr w:type="spellStart"/>
      <w:r w:rsidRPr="00ED7890">
        <w:rPr>
          <w:rFonts w:ascii="Courier" w:hAnsi="Courier"/>
        </w:rPr>
        <w:t>hclust</w:t>
      </w:r>
      <w:proofErr w:type="spellEnd"/>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proofErr w:type="spellStart"/>
      <w:r w:rsidR="00D72FF6">
        <w:t>dendogram</w:t>
      </w:r>
      <w:proofErr w:type="spellEnd"/>
      <w:r w:rsidR="00D72FF6">
        <w:t xml:space="preserve">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 xml:space="preserve">significantly grouped similar samples together, we employed a reshuffling test. For any category that we tested for significant clustering (e.g., carbon source, Na stress, or batch number), we calculated the mean </w:t>
      </w:r>
      <w:proofErr w:type="spellStart"/>
      <w:r w:rsidR="00C80BDE">
        <w:t>cophenetic</w:t>
      </w:r>
      <w:proofErr w:type="spellEnd"/>
      <w:r w:rsidR="00C80BDE">
        <w:t xml:space="preserve"> distance in the clustering </w:t>
      </w:r>
      <w:proofErr w:type="spellStart"/>
      <w:r w:rsidR="00C80BDE">
        <w:t>dendogram</w:t>
      </w:r>
      <w:proofErr w:type="spellEnd"/>
      <w:r w:rsidR="00C80BDE">
        <w:t xml:space="preserve"> between all pairs belonging to the</w:t>
      </w:r>
      <w:r>
        <w:t xml:space="preserve"> </w:t>
      </w:r>
      <w:r w:rsidR="00C80BDE">
        <w:t xml:space="preserve">same level of the categorical variable tested (e.g., same carbon source). We then repeatedly reshuffled the labeling within each category and recalculated the mean </w:t>
      </w:r>
      <w:proofErr w:type="spellStart"/>
      <w:r w:rsidR="00C80BDE">
        <w:t>cophenetic</w:t>
      </w:r>
      <w:proofErr w:type="spellEnd"/>
      <w:r w:rsidR="00C80BDE">
        <w:t xml:space="preserve"> distance each time. Finally, we calculated </w:t>
      </w:r>
      <w:r w:rsidR="00C80BDE" w:rsidRPr="00C80BDE">
        <w:rPr>
          <w:i/>
        </w:rPr>
        <w:t>z</w:t>
      </w:r>
      <w:r w:rsidR="00C80BDE">
        <w:t xml:space="preserve"> scores of the original </w:t>
      </w:r>
      <w:proofErr w:type="spellStart"/>
      <w:r w:rsidR="00C80BDE">
        <w:t>cophenetic</w:t>
      </w:r>
      <w:proofErr w:type="spellEnd"/>
      <w:r w:rsidR="00C80BDE">
        <w:t xml:space="preserve">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41715497" w:rsidR="00315216" w:rsidRDefault="002542F9" w:rsidP="00315216">
      <w:r>
        <w:t xml:space="preserve">We used DeSeq2 </w:t>
      </w:r>
      <w:r w:rsidRPr="002542F9">
        <w:rPr>
          <w:highlight w:val="yellow"/>
        </w:rPr>
        <w:t>(ref)</w:t>
      </w:r>
      <w:r>
        <w:t xml:space="preserve"> to identify differentially expressed mRNAs and proteins across conditions. We used two reference conditions in our comparisons, one for exponential phase and one for stationary phase. The reference conditions always had glucose as carbon source and base </w:t>
      </w:r>
      <w:proofErr w:type="spellStart"/>
      <w:r w:rsidR="00460421">
        <w:t>NaCl</w:t>
      </w:r>
      <w:proofErr w:type="spellEnd"/>
      <w:r w:rsidR="00460421">
        <w:t xml:space="preserve"> and MgSO</w:t>
      </w:r>
      <w:r w:rsidR="00460421" w:rsidRPr="0073068B">
        <w:rPr>
          <w:vertAlign w:val="subscript"/>
        </w:rPr>
        <w:t>4</w:t>
      </w:r>
      <w:r w:rsidR="00460421">
        <w:t xml:space="preserve"> concentrations. </w:t>
      </w:r>
      <w:r>
        <w:t xml:space="preserve">We did not compare exponential phase to stationary phase samples, since this comparison was done in depth by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for samples grown on glucose and with base </w:t>
      </w:r>
      <w:proofErr w:type="spellStart"/>
      <w:r>
        <w:t>NaCl</w:t>
      </w:r>
      <w:proofErr w:type="spellEnd"/>
      <w:r>
        <w:t xml:space="preserve"> and MgSO</w:t>
      </w:r>
      <w:r w:rsidRPr="0073068B">
        <w:rPr>
          <w:vertAlign w:val="subscript"/>
        </w:rPr>
        <w:t>4</w:t>
      </w:r>
      <w:r>
        <w:t xml:space="preserve"> concentrations.</w:t>
      </w:r>
    </w:p>
    <w:p w14:paraId="33C6F7E1" w14:textId="77777777" w:rsidR="00460421" w:rsidRDefault="00460421" w:rsidP="00315216"/>
    <w:p w14:paraId="61FF31ED" w14:textId="21BBC37B" w:rsidR="0018344D" w:rsidRPr="00DD4E2A" w:rsidRDefault="00460421" w:rsidP="0018344D">
      <w:r>
        <w:t>We considered genes as differentially expressed between two conditions if their log</w:t>
      </w:r>
      <w:r w:rsidRPr="00460421">
        <w:rPr>
          <w:vertAlign w:val="subscript"/>
        </w:rPr>
        <w:t>2</w:t>
      </w:r>
      <w:r>
        <w:t xml:space="preserve"> fold change was</w:t>
      </w:r>
      <w:commentRangeStart w:id="4"/>
      <w:r>
        <w:t xml:space="preserve"> &gt;1</w:t>
      </w:r>
      <w:commentRangeEnd w:id="4"/>
      <w:r>
        <w:rPr>
          <w:rStyle w:val="CommentReference"/>
        </w:rPr>
        <w:commentReference w:id="4"/>
      </w:r>
      <w:r>
        <w:t xml:space="preserve"> and their FDR-corrected </w:t>
      </w:r>
      <w:r w:rsidRPr="00460421">
        <w:rPr>
          <w:i/>
        </w:rPr>
        <w:t>P</w:t>
      </w:r>
      <w:r>
        <w:t xml:space="preserve"> value &lt;0.05.</w:t>
      </w:r>
      <w:r w:rsidR="0018344D">
        <w:t xml:space="preserve"> </w:t>
      </w:r>
      <w:r w:rsidR="00DD4E2A">
        <w:t xml:space="preserve">We subsequently annotated </w:t>
      </w:r>
      <w:proofErr w:type="spellStart"/>
      <w:r w:rsidR="00DD4E2A">
        <w:t>differentiall</w:t>
      </w:r>
      <w:proofErr w:type="spellEnd"/>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w:t>
      </w:r>
      <w:proofErr w:type="spellStart"/>
      <w:r>
        <w:t>github</w:t>
      </w:r>
      <w:proofErr w:type="spellEnd"/>
      <w:r>
        <w:t xml:space="preserve">: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243B2AFA" w14:textId="77777777" w:rsidR="000D74E5" w:rsidRPr="000D74E5" w:rsidRDefault="00FD014C" w:rsidP="000D74E5">
      <w:pPr>
        <w:pStyle w:val="Bibliography"/>
        <w:rPr>
          <w:rFonts w:ascii="Calibri"/>
        </w:rPr>
      </w:pPr>
      <w:r>
        <w:fldChar w:fldCharType="begin"/>
      </w:r>
      <w:r w:rsidR="00CA5118">
        <w:instrText xml:space="preserve"> ADDIN ZOTERO_BIBL {"custom":[]} CSL_BIBLIOGRAPHY </w:instrText>
      </w:r>
      <w:r>
        <w:fldChar w:fldCharType="separate"/>
      </w:r>
      <w:r w:rsidR="000D74E5" w:rsidRPr="000D74E5">
        <w:rPr>
          <w:rFonts w:ascii="Calibri"/>
        </w:rPr>
        <w:t xml:space="preserve">Anders, Simon, Paul Theodor Pyl, and Wolfgang Huber. 2015. “HTSeq--a Python Framework to Work with High-Throughput Sequencing Data.” </w:t>
      </w:r>
      <w:r w:rsidR="000D74E5" w:rsidRPr="000D74E5">
        <w:rPr>
          <w:rFonts w:ascii="Calibri"/>
          <w:i/>
          <w:iCs/>
        </w:rPr>
        <w:t>Bioinformatics (Oxford, England)</w:t>
      </w:r>
      <w:r w:rsidR="000D74E5" w:rsidRPr="000D74E5">
        <w:rPr>
          <w:rFonts w:ascii="Calibri"/>
        </w:rPr>
        <w:t xml:space="preserve"> 31 (2): 166–69. doi:10.1093/bioinformatics/btu638.</w:t>
      </w:r>
    </w:p>
    <w:p w14:paraId="0CEC8BD8" w14:textId="77777777" w:rsidR="000D74E5" w:rsidRPr="000D74E5" w:rsidRDefault="000D74E5" w:rsidP="000D74E5">
      <w:pPr>
        <w:pStyle w:val="Bibliography"/>
        <w:rPr>
          <w:rFonts w:ascii="Calibri"/>
        </w:rPr>
      </w:pPr>
      <w:r w:rsidRPr="000D74E5">
        <w:rPr>
          <w:rFonts w:ascii="Calibri"/>
        </w:rPr>
        <w:t xml:space="preserve">Ashburner, Michael, Catherine A. Ball, Judith A. Blake, David Botstein, Heather Butler, J. Michael Cherry, Allan P. Davis, et al. 2000. “Gene Ontology: Tool for the Unification of Biology.” </w:t>
      </w:r>
      <w:r w:rsidRPr="000D74E5">
        <w:rPr>
          <w:rFonts w:ascii="Calibri"/>
          <w:i/>
          <w:iCs/>
        </w:rPr>
        <w:t>Nature Genetics</w:t>
      </w:r>
      <w:r w:rsidRPr="000D74E5">
        <w:rPr>
          <w:rFonts w:ascii="Calibri"/>
        </w:rPr>
        <w:t xml:space="preserve"> 25 (1): 25–29. doi:10.1038/75556.</w:t>
      </w:r>
    </w:p>
    <w:p w14:paraId="69BD9AD5" w14:textId="77777777" w:rsidR="000D74E5" w:rsidRPr="000D74E5" w:rsidRDefault="000D74E5" w:rsidP="000D74E5">
      <w:pPr>
        <w:pStyle w:val="Bibliography"/>
        <w:rPr>
          <w:rFonts w:ascii="Calibri"/>
        </w:rPr>
      </w:pPr>
      <w:r w:rsidRPr="000D74E5">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0D74E5">
        <w:rPr>
          <w:rFonts w:ascii="Calibri"/>
          <w:i/>
          <w:iCs/>
        </w:rPr>
        <w:t>Journal of Bacteriology</w:t>
      </w:r>
      <w:r w:rsidRPr="000D74E5">
        <w:rPr>
          <w:rFonts w:ascii="Calibri"/>
        </w:rPr>
        <w:t xml:space="preserve"> 180 (14): 3704–10.</w:t>
      </w:r>
    </w:p>
    <w:p w14:paraId="29E9D484" w14:textId="77777777" w:rsidR="000D74E5" w:rsidRPr="000D74E5" w:rsidRDefault="000D74E5" w:rsidP="000D74E5">
      <w:pPr>
        <w:pStyle w:val="Bibliography"/>
        <w:rPr>
          <w:rFonts w:ascii="Calibri"/>
        </w:rPr>
      </w:pPr>
      <w:r w:rsidRPr="000D74E5">
        <w:rPr>
          <w:rFonts w:ascii="Calibri"/>
        </w:rPr>
        <w:t xml:space="preserve">Blattner, Frederick R., Guy Plunkett, Craig A. Bloch, Nicole T. Perna, Valerie Burland, Monica Riley, Julio Collado-Vides, et al. 1997. “The Complete Genome Sequence of Escherichia Coli K-12.” </w:t>
      </w:r>
      <w:r w:rsidRPr="000D74E5">
        <w:rPr>
          <w:rFonts w:ascii="Calibri"/>
          <w:i/>
          <w:iCs/>
        </w:rPr>
        <w:t>Science</w:t>
      </w:r>
      <w:r w:rsidRPr="000D74E5">
        <w:rPr>
          <w:rFonts w:ascii="Calibri"/>
        </w:rPr>
        <w:t xml:space="preserve"> 277 (5331): 1453–62. doi:10.1126/science.277.5331.1453.</w:t>
      </w:r>
    </w:p>
    <w:p w14:paraId="0A8A9E74" w14:textId="77777777" w:rsidR="000D74E5" w:rsidRPr="000D74E5" w:rsidRDefault="000D74E5" w:rsidP="000D74E5">
      <w:pPr>
        <w:pStyle w:val="Bibliography"/>
        <w:rPr>
          <w:rFonts w:ascii="Calibri"/>
        </w:rPr>
      </w:pPr>
      <w:r w:rsidRPr="000D74E5">
        <w:rPr>
          <w:rFonts w:ascii="Calibri"/>
        </w:rPr>
        <w:t xml:space="preserve">Botstein, David, and Neil Risch. 2003. “Discovering Genotypes Underlying Human Phenotypes: Past Successes for Mendelian Disease, Future Approaches for Complex Disease.” </w:t>
      </w:r>
      <w:r w:rsidRPr="000D74E5">
        <w:rPr>
          <w:rFonts w:ascii="Calibri"/>
          <w:i/>
          <w:iCs/>
        </w:rPr>
        <w:t>Nature Genetics</w:t>
      </w:r>
      <w:r w:rsidRPr="000D74E5">
        <w:rPr>
          <w:rFonts w:ascii="Calibri"/>
        </w:rPr>
        <w:t xml:space="preserve"> 33 (March): 228–37. doi:10.1038/ng1090.</w:t>
      </w:r>
    </w:p>
    <w:p w14:paraId="02ED7B19" w14:textId="77777777" w:rsidR="000D74E5" w:rsidRPr="000D74E5" w:rsidRDefault="000D74E5" w:rsidP="000D74E5">
      <w:pPr>
        <w:pStyle w:val="Bibliography"/>
        <w:rPr>
          <w:rFonts w:ascii="Calibri"/>
        </w:rPr>
      </w:pPr>
      <w:r w:rsidRPr="000D74E5">
        <w:rPr>
          <w:rFonts w:ascii="Calibri"/>
        </w:rPr>
        <w:t xml:space="preserve">Burge, Sarah W., Jennifer Daub, Ruth Eberhardt, John Tate, Lars Barquist, Eric P. Nawrocki, Sean R. Eddy, Paul P. Gardner, and Alex Bateman. 2013. “Rfam 11.0: 10 Years of RNA Families.” </w:t>
      </w:r>
      <w:r w:rsidRPr="000D74E5">
        <w:rPr>
          <w:rFonts w:ascii="Calibri"/>
          <w:i/>
          <w:iCs/>
        </w:rPr>
        <w:t>Nucleic Acids Research</w:t>
      </w:r>
      <w:r w:rsidRPr="000D74E5">
        <w:rPr>
          <w:rFonts w:ascii="Calibri"/>
        </w:rPr>
        <w:t xml:space="preserve"> 41 (Database issue): D226–32. doi:10.1093/nar/gks1005.</w:t>
      </w:r>
    </w:p>
    <w:p w14:paraId="6B980EF9" w14:textId="77777777" w:rsidR="000D74E5" w:rsidRPr="000D74E5" w:rsidRDefault="000D74E5" w:rsidP="000D74E5">
      <w:pPr>
        <w:pStyle w:val="Bibliography"/>
        <w:rPr>
          <w:rFonts w:ascii="Calibri"/>
        </w:rPr>
      </w:pPr>
      <w:r w:rsidRPr="000D74E5">
        <w:rPr>
          <w:rFonts w:ascii="Calibri"/>
        </w:rPr>
        <w:t xml:space="preserve">Dodt, Matthias, Johannes T. Roehr, Rina Ahmed, and Christoph Dieterich. 2012. “FLEXBAR—Flexible Barcode and Adapter Processing for Next-Generation Sequencing Platforms.” </w:t>
      </w:r>
      <w:r w:rsidRPr="000D74E5">
        <w:rPr>
          <w:rFonts w:ascii="Calibri"/>
          <w:i/>
          <w:iCs/>
        </w:rPr>
        <w:t>Biology</w:t>
      </w:r>
      <w:r w:rsidRPr="000D74E5">
        <w:rPr>
          <w:rFonts w:ascii="Calibri"/>
        </w:rPr>
        <w:t xml:space="preserve"> 1 (3): 895–905. doi:10.3390/biology1030895.</w:t>
      </w:r>
    </w:p>
    <w:p w14:paraId="43835CB2" w14:textId="77777777" w:rsidR="000D74E5" w:rsidRPr="000D74E5" w:rsidRDefault="000D74E5" w:rsidP="000D74E5">
      <w:pPr>
        <w:pStyle w:val="Bibliography"/>
        <w:rPr>
          <w:rFonts w:ascii="Calibri"/>
        </w:rPr>
      </w:pPr>
      <w:r w:rsidRPr="000D74E5">
        <w:rPr>
          <w:rFonts w:ascii="Calibri"/>
        </w:rPr>
        <w:t xml:space="preserve">Fujita, Y., T. Fujita, Y. Miwa, J. Nihashi, and Y. Aratani. 1986. “Organization and Transcription of the Gluconate Operon, Gnt, of Bacillus Subtilis.” </w:t>
      </w:r>
      <w:r w:rsidRPr="000D74E5">
        <w:rPr>
          <w:rFonts w:ascii="Calibri"/>
          <w:i/>
          <w:iCs/>
        </w:rPr>
        <w:t>Journal of Biological Chemistry</w:t>
      </w:r>
      <w:r w:rsidRPr="000D74E5">
        <w:rPr>
          <w:rFonts w:ascii="Calibri"/>
        </w:rPr>
        <w:t xml:space="preserve"> 261 (29): 13744–53.</w:t>
      </w:r>
    </w:p>
    <w:p w14:paraId="2187FB59" w14:textId="77777777" w:rsidR="000D74E5" w:rsidRPr="000D74E5" w:rsidRDefault="000D74E5" w:rsidP="000D74E5">
      <w:pPr>
        <w:pStyle w:val="Bibliography"/>
        <w:rPr>
          <w:rFonts w:ascii="Calibri"/>
        </w:rPr>
      </w:pPr>
      <w:r w:rsidRPr="000D74E5">
        <w:rPr>
          <w:rFonts w:ascii="Calibri"/>
        </w:rPr>
        <w:t xml:space="preserve">Gadgil, Mugdha, Vivek Kapur, and Wei-Shou Hu. 2005. “Transcriptional Response of Escherichia Coli to Temperature Shift.” </w:t>
      </w:r>
      <w:r w:rsidRPr="000D74E5">
        <w:rPr>
          <w:rFonts w:ascii="Calibri"/>
          <w:i/>
          <w:iCs/>
        </w:rPr>
        <w:t>Biotechnology Progress</w:t>
      </w:r>
      <w:r w:rsidRPr="000D74E5">
        <w:rPr>
          <w:rFonts w:ascii="Calibri"/>
        </w:rPr>
        <w:t xml:space="preserve"> 21 (3): 689–99. doi:10.1021/bp049630l.</w:t>
      </w:r>
    </w:p>
    <w:p w14:paraId="78C24146" w14:textId="77777777" w:rsidR="000D74E5" w:rsidRPr="000D74E5" w:rsidRDefault="000D74E5" w:rsidP="000D74E5">
      <w:pPr>
        <w:pStyle w:val="Bibliography"/>
        <w:rPr>
          <w:rFonts w:ascii="Calibri"/>
        </w:rPr>
      </w:pPr>
      <w:r w:rsidRPr="000D74E5">
        <w:rPr>
          <w:rFonts w:ascii="Calibri"/>
        </w:rPr>
        <w:t xml:space="preserve">Hantke, K. 1997. “Ferrous Iron Uptake by a Magnesium Transport System Is Toxic for Escherichia Coli and Salmonella Typhimurium.” </w:t>
      </w:r>
      <w:r w:rsidRPr="000D74E5">
        <w:rPr>
          <w:rFonts w:ascii="Calibri"/>
          <w:i/>
          <w:iCs/>
        </w:rPr>
        <w:t>Journal of Bacteriology</w:t>
      </w:r>
      <w:r w:rsidRPr="000D74E5">
        <w:rPr>
          <w:rFonts w:ascii="Calibri"/>
        </w:rPr>
        <w:t xml:space="preserve"> 179 (19): 6201–4.</w:t>
      </w:r>
    </w:p>
    <w:p w14:paraId="4F4F0042" w14:textId="77777777" w:rsidR="000D74E5" w:rsidRPr="000D74E5" w:rsidRDefault="000D74E5" w:rsidP="000D74E5">
      <w:pPr>
        <w:pStyle w:val="Bibliography"/>
        <w:rPr>
          <w:rFonts w:ascii="Calibri"/>
        </w:rPr>
      </w:pPr>
      <w:r w:rsidRPr="000D74E5">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0D74E5">
        <w:rPr>
          <w:rFonts w:ascii="Calibri"/>
          <w:i/>
          <w:iCs/>
        </w:rPr>
        <w:t>PLoS Computational Biology</w:t>
      </w:r>
      <w:r w:rsidRPr="000D74E5">
        <w:rPr>
          <w:rFonts w:ascii="Calibri"/>
        </w:rPr>
        <w:t xml:space="preserve"> 11 (8): e1004400. doi:10.1371/journal.pcbi.1004400.</w:t>
      </w:r>
    </w:p>
    <w:p w14:paraId="24C9B81F" w14:textId="77777777" w:rsidR="000D74E5" w:rsidRPr="000D74E5" w:rsidRDefault="000D74E5" w:rsidP="000D74E5">
      <w:pPr>
        <w:pStyle w:val="Bibliography"/>
        <w:rPr>
          <w:rFonts w:ascii="Calibri"/>
        </w:rPr>
      </w:pPr>
      <w:r w:rsidRPr="000D74E5">
        <w:rPr>
          <w:rFonts w:ascii="Calibri"/>
        </w:rPr>
        <w:t xml:space="preserve">Huang, Da Wei, Brad T. Sherman, and Richard A. Lempicki. 2008. “Systematic and Integrative Analysis of Large Gene Lists Using DAVID Bioinformatics Resources.” </w:t>
      </w:r>
      <w:r w:rsidRPr="000D74E5">
        <w:rPr>
          <w:rFonts w:ascii="Calibri"/>
          <w:i/>
          <w:iCs/>
        </w:rPr>
        <w:t>Nature Protocols</w:t>
      </w:r>
      <w:r w:rsidRPr="000D74E5">
        <w:rPr>
          <w:rFonts w:ascii="Calibri"/>
        </w:rPr>
        <w:t xml:space="preserve"> 4 (1): 44–57. doi:10.1038/nprot.2008.211.</w:t>
      </w:r>
    </w:p>
    <w:p w14:paraId="69A9566D" w14:textId="77777777" w:rsidR="000D74E5" w:rsidRPr="000D74E5" w:rsidRDefault="000D74E5" w:rsidP="000D74E5">
      <w:pPr>
        <w:pStyle w:val="Bibliography"/>
        <w:rPr>
          <w:rFonts w:ascii="Calibri"/>
        </w:rPr>
      </w:pPr>
      <w:r w:rsidRPr="000D74E5">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0D74E5">
        <w:rPr>
          <w:rFonts w:ascii="Calibri"/>
          <w:i/>
          <w:iCs/>
        </w:rPr>
        <w:t>Science</w:t>
      </w:r>
      <w:r w:rsidRPr="000D74E5">
        <w:rPr>
          <w:rFonts w:ascii="Calibri"/>
        </w:rPr>
        <w:t xml:space="preserve"> 292 (5518): 929–34. doi:10.1126/science.292.5518.929.</w:t>
      </w:r>
    </w:p>
    <w:p w14:paraId="20657349" w14:textId="77777777" w:rsidR="000D74E5" w:rsidRPr="000D74E5" w:rsidRDefault="000D74E5" w:rsidP="000D74E5">
      <w:pPr>
        <w:pStyle w:val="Bibliography"/>
        <w:rPr>
          <w:rFonts w:ascii="Calibri"/>
        </w:rPr>
      </w:pPr>
      <w:r w:rsidRPr="000D74E5">
        <w:rPr>
          <w:rFonts w:ascii="Calibri"/>
        </w:rPr>
        <w:t xml:space="preserve">Jeong, Haeyoung, Valérie Barbe, Choong Hoon Lee, David Vallenet, Dong Su Yu, Sang-Haeng Choi, Arnaud Couloux, et al. 2009. “Genome Sequences of Escherichia Coli B Strains REL606 and BL21(DE3).” </w:t>
      </w:r>
      <w:r w:rsidRPr="000D74E5">
        <w:rPr>
          <w:rFonts w:ascii="Calibri"/>
          <w:i/>
          <w:iCs/>
        </w:rPr>
        <w:t>Journal of Molecular Biology</w:t>
      </w:r>
      <w:r w:rsidRPr="000D74E5">
        <w:rPr>
          <w:rFonts w:ascii="Calibri"/>
        </w:rPr>
        <w:t xml:space="preserve"> 394 (4): 644–52. doi:10.1016/j.jmb.2009.09.052.</w:t>
      </w:r>
    </w:p>
    <w:p w14:paraId="6F046945" w14:textId="77777777" w:rsidR="000D74E5" w:rsidRPr="000D74E5" w:rsidRDefault="000D74E5" w:rsidP="000D74E5">
      <w:pPr>
        <w:pStyle w:val="Bibliography"/>
        <w:rPr>
          <w:rFonts w:ascii="Calibri"/>
        </w:rPr>
      </w:pPr>
      <w:r w:rsidRPr="000D74E5">
        <w:rPr>
          <w:rFonts w:ascii="Calibri"/>
        </w:rPr>
        <w:t xml:space="preserve">Joyce, Andrew R., and Bernhard Ø Palsson. 2006. “The Model Organism as a System: Integrating ‘Omics’ Data Sets.” </w:t>
      </w:r>
      <w:r w:rsidRPr="000D74E5">
        <w:rPr>
          <w:rFonts w:ascii="Calibri"/>
          <w:i/>
          <w:iCs/>
        </w:rPr>
        <w:t>Nature Reviews Molecular Cell Biology</w:t>
      </w:r>
      <w:r w:rsidRPr="000D74E5">
        <w:rPr>
          <w:rFonts w:ascii="Calibri"/>
        </w:rPr>
        <w:t xml:space="preserve"> 7 (3): 198–210. doi:10.1038/nrm1857.</w:t>
      </w:r>
    </w:p>
    <w:p w14:paraId="17476D49" w14:textId="77777777" w:rsidR="000D74E5" w:rsidRPr="000D74E5" w:rsidRDefault="000D74E5" w:rsidP="000D74E5">
      <w:pPr>
        <w:pStyle w:val="Bibliography"/>
        <w:rPr>
          <w:rFonts w:ascii="Calibri"/>
        </w:rPr>
      </w:pPr>
      <w:r w:rsidRPr="000D74E5">
        <w:rPr>
          <w:rFonts w:ascii="Calibri"/>
        </w:rPr>
        <w:t xml:space="preserve">Kanehisa, Minoru, and Susumu Goto. 2000. “KEGG: Kyoto Encyclopedia of Genes and Genomes.” </w:t>
      </w:r>
      <w:r w:rsidRPr="000D74E5">
        <w:rPr>
          <w:rFonts w:ascii="Calibri"/>
          <w:i/>
          <w:iCs/>
        </w:rPr>
        <w:t>Nucleic Acids Research</w:t>
      </w:r>
      <w:r w:rsidRPr="000D74E5">
        <w:rPr>
          <w:rFonts w:ascii="Calibri"/>
        </w:rPr>
        <w:t xml:space="preserve"> 28 (1): 27–30.</w:t>
      </w:r>
    </w:p>
    <w:p w14:paraId="2A384EAE" w14:textId="77777777" w:rsidR="000D74E5" w:rsidRPr="000D74E5" w:rsidRDefault="000D74E5" w:rsidP="000D74E5">
      <w:pPr>
        <w:pStyle w:val="Bibliography"/>
        <w:rPr>
          <w:rFonts w:ascii="Calibri"/>
        </w:rPr>
      </w:pPr>
      <w:r w:rsidRPr="000D74E5">
        <w:rPr>
          <w:rFonts w:ascii="Calibri"/>
        </w:rPr>
        <w:t xml:space="preserve">Kim, Minseung, Violeta Zorraquino, and Ilias Tagkopoulos. 2015. “Microbial Forensics: Predicting Phenotypic Characteristics and Environmental Conditions from Large-Scale Gene Expression Profiles.” </w:t>
      </w:r>
      <w:r w:rsidRPr="000D74E5">
        <w:rPr>
          <w:rFonts w:ascii="Calibri"/>
          <w:i/>
          <w:iCs/>
        </w:rPr>
        <w:t>PLOS Comput Biol</w:t>
      </w:r>
      <w:r w:rsidRPr="000D74E5">
        <w:rPr>
          <w:rFonts w:ascii="Calibri"/>
        </w:rPr>
        <w:t xml:space="preserve"> 11 (3): e1004127. doi:10.1371/journal.pcbi.1004127.</w:t>
      </w:r>
    </w:p>
    <w:p w14:paraId="4D2F35CA" w14:textId="77777777" w:rsidR="000D74E5" w:rsidRPr="000D74E5" w:rsidRDefault="000D74E5" w:rsidP="000D74E5">
      <w:pPr>
        <w:pStyle w:val="Bibliography"/>
        <w:rPr>
          <w:rFonts w:ascii="Calibri"/>
        </w:rPr>
      </w:pPr>
      <w:r w:rsidRPr="000D74E5">
        <w:rPr>
          <w:rFonts w:ascii="Calibri"/>
        </w:rPr>
        <w:t xml:space="preserve">Langmead, Ben, and Steven L. Salzberg. 2012. “Fast Gapped-Read Alignment with Bowtie 2.” </w:t>
      </w:r>
      <w:r w:rsidRPr="000D74E5">
        <w:rPr>
          <w:rFonts w:ascii="Calibri"/>
          <w:i/>
          <w:iCs/>
        </w:rPr>
        <w:t>Nature Methods</w:t>
      </w:r>
      <w:r w:rsidRPr="000D74E5">
        <w:rPr>
          <w:rFonts w:ascii="Calibri"/>
        </w:rPr>
        <w:t xml:space="preserve"> 9 (4): 357–59. doi:10.1038/nmeth.1923.</w:t>
      </w:r>
    </w:p>
    <w:p w14:paraId="272F5249" w14:textId="77777777" w:rsidR="000D74E5" w:rsidRPr="000D74E5" w:rsidRDefault="000D74E5" w:rsidP="000D74E5">
      <w:pPr>
        <w:pStyle w:val="Bibliography"/>
        <w:rPr>
          <w:rFonts w:ascii="Calibri"/>
        </w:rPr>
      </w:pPr>
      <w:r w:rsidRPr="000D74E5">
        <w:rPr>
          <w:rFonts w:ascii="Calibri"/>
        </w:rPr>
        <w:t xml:space="preserve">Lee, Sang Yup. 1996. “High Cell-Density Culture of Escherichia Coli.” </w:t>
      </w:r>
      <w:r w:rsidRPr="000D74E5">
        <w:rPr>
          <w:rFonts w:ascii="Calibri"/>
          <w:i/>
          <w:iCs/>
        </w:rPr>
        <w:t>Trends in Biotechnology</w:t>
      </w:r>
      <w:r w:rsidRPr="000D74E5">
        <w:rPr>
          <w:rFonts w:ascii="Calibri"/>
        </w:rPr>
        <w:t xml:space="preserve"> 14 (3): 98–105. doi:10.1016/0167-7799(96)80930-9.</w:t>
      </w:r>
    </w:p>
    <w:p w14:paraId="5D74946F" w14:textId="77777777" w:rsidR="000D74E5" w:rsidRPr="000D74E5" w:rsidRDefault="000D74E5" w:rsidP="000D74E5">
      <w:pPr>
        <w:pStyle w:val="Bibliography"/>
        <w:rPr>
          <w:rFonts w:ascii="Calibri"/>
        </w:rPr>
      </w:pPr>
      <w:r w:rsidRPr="000D74E5">
        <w:rPr>
          <w:rFonts w:ascii="Calibri"/>
        </w:rPr>
        <w:t xml:space="preserve">Lewis, Nathan E., Byung-Kwan Cho, Eric M. Knight, and Bernhard O. Palsson. 2009. “Gene Expression Profiling and the Use of Genome-Scale In Silico Models of Escherichia Coli for Analysis: Providing Context for Content.” </w:t>
      </w:r>
      <w:r w:rsidRPr="000D74E5">
        <w:rPr>
          <w:rFonts w:ascii="Calibri"/>
          <w:i/>
          <w:iCs/>
        </w:rPr>
        <w:t>Journal of Bacteriology</w:t>
      </w:r>
      <w:r w:rsidRPr="000D74E5">
        <w:rPr>
          <w:rFonts w:ascii="Calibri"/>
        </w:rPr>
        <w:t xml:space="preserve"> 191 (11): 3437–44. doi:10.1128/JB.00034-09.</w:t>
      </w:r>
    </w:p>
    <w:p w14:paraId="5C6F3EF7" w14:textId="77777777" w:rsidR="000D74E5" w:rsidRPr="000D74E5" w:rsidRDefault="000D74E5" w:rsidP="000D74E5">
      <w:pPr>
        <w:pStyle w:val="Bibliography"/>
        <w:rPr>
          <w:rFonts w:ascii="Calibri"/>
        </w:rPr>
      </w:pPr>
      <w:r w:rsidRPr="000D74E5">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0D74E5">
        <w:rPr>
          <w:rFonts w:ascii="Calibri"/>
          <w:i/>
          <w:iCs/>
        </w:rPr>
        <w:t>Molecular Systems Biology</w:t>
      </w:r>
      <w:r w:rsidRPr="000D74E5">
        <w:rPr>
          <w:rFonts w:ascii="Calibri"/>
        </w:rPr>
        <w:t xml:space="preserve"> 6 (July): 390. doi:10.1038/msb.2010.47.</w:t>
      </w:r>
    </w:p>
    <w:p w14:paraId="32CF5F00" w14:textId="77777777" w:rsidR="000D74E5" w:rsidRPr="000D74E5" w:rsidRDefault="000D74E5" w:rsidP="000D74E5">
      <w:pPr>
        <w:pStyle w:val="Bibliography"/>
        <w:rPr>
          <w:rFonts w:ascii="Calibri"/>
        </w:rPr>
      </w:pPr>
      <w:r w:rsidRPr="000D74E5">
        <w:rPr>
          <w:rFonts w:ascii="Calibri"/>
        </w:rPr>
        <w:t xml:space="preserve">Love, Michael I., Wolfgang Huber, and Simon Anders. 2014. “Moderated Estimation of Fold Change and Dispersion for RNA-Seq Data with DESeq2.” </w:t>
      </w:r>
      <w:r w:rsidRPr="000D74E5">
        <w:rPr>
          <w:rFonts w:ascii="Calibri"/>
          <w:i/>
          <w:iCs/>
        </w:rPr>
        <w:t>Genome Biology</w:t>
      </w:r>
      <w:r w:rsidRPr="000D74E5">
        <w:rPr>
          <w:rFonts w:ascii="Calibri"/>
        </w:rPr>
        <w:t xml:space="preserve"> 15 (12): 550. doi:10.1186/s13059-014-0550-8.</w:t>
      </w:r>
    </w:p>
    <w:p w14:paraId="587C5199" w14:textId="77777777" w:rsidR="000D74E5" w:rsidRPr="000D74E5" w:rsidRDefault="000D74E5" w:rsidP="000D74E5">
      <w:pPr>
        <w:pStyle w:val="Bibliography"/>
        <w:rPr>
          <w:rFonts w:ascii="Calibri"/>
        </w:rPr>
      </w:pPr>
      <w:r w:rsidRPr="000D74E5">
        <w:rPr>
          <w:rFonts w:ascii="Calibri"/>
        </w:rPr>
        <w:t xml:space="preserve">Madhulatha, T. Soni. 2012. “An Overview on Clustering Methods.” </w:t>
      </w:r>
      <w:r w:rsidRPr="000D74E5">
        <w:rPr>
          <w:rFonts w:ascii="Calibri"/>
          <w:i/>
          <w:iCs/>
        </w:rPr>
        <w:t>arXiv:1205.1117 [cs]</w:t>
      </w:r>
      <w:r w:rsidRPr="000D74E5">
        <w:rPr>
          <w:rFonts w:ascii="Calibri"/>
        </w:rPr>
        <w:t>, May. http://arxiv.org/abs/1205.1117.</w:t>
      </w:r>
    </w:p>
    <w:p w14:paraId="3453492D" w14:textId="77777777" w:rsidR="000D74E5" w:rsidRPr="000D74E5" w:rsidRDefault="000D74E5" w:rsidP="000D74E5">
      <w:pPr>
        <w:pStyle w:val="Bibliography"/>
        <w:rPr>
          <w:rFonts w:ascii="Calibri"/>
        </w:rPr>
      </w:pPr>
      <w:r w:rsidRPr="000D74E5">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0D74E5">
        <w:rPr>
          <w:rFonts w:ascii="Calibri"/>
          <w:i/>
          <w:iCs/>
        </w:rPr>
        <w:t>Nature Biotechnology</w:t>
      </w:r>
      <w:r w:rsidRPr="000D74E5">
        <w:rPr>
          <w:rFonts w:ascii="Calibri"/>
        </w:rPr>
        <w:t xml:space="preserve"> advance online publication (December). doi:10.1038/nbt.3418.</w:t>
      </w:r>
    </w:p>
    <w:p w14:paraId="7A2B2114" w14:textId="77777777" w:rsidR="000D74E5" w:rsidRPr="000D74E5" w:rsidRDefault="000D74E5" w:rsidP="000D74E5">
      <w:pPr>
        <w:pStyle w:val="Bibliography"/>
        <w:rPr>
          <w:rFonts w:ascii="Calibri"/>
        </w:rPr>
      </w:pPr>
      <w:r w:rsidRPr="000D74E5">
        <w:rPr>
          <w:rFonts w:ascii="Calibri"/>
        </w:rPr>
        <w:t xml:space="preserve">Soufi, Boumediene, Karsten Krug, Andreas Harst, and Boris Macek. 2015. “Characterization of the E. Coli Proteome and Its Modifications during Growth and Ethanol Stress.” </w:t>
      </w:r>
      <w:r w:rsidRPr="000D74E5">
        <w:rPr>
          <w:rFonts w:ascii="Calibri"/>
          <w:i/>
          <w:iCs/>
        </w:rPr>
        <w:t>Frontiers in Microbiology</w:t>
      </w:r>
      <w:r w:rsidRPr="000D74E5">
        <w:rPr>
          <w:rFonts w:ascii="Calibri"/>
        </w:rPr>
        <w:t xml:space="preserve"> 6 (February). doi:10.3389/fmicb.2015.00103.</w:t>
      </w:r>
    </w:p>
    <w:p w14:paraId="63A10562" w14:textId="77777777" w:rsidR="000D74E5" w:rsidRPr="000D74E5" w:rsidRDefault="000D74E5" w:rsidP="000D74E5">
      <w:pPr>
        <w:pStyle w:val="Bibliography"/>
        <w:rPr>
          <w:rFonts w:ascii="Calibri"/>
        </w:rPr>
      </w:pPr>
      <w:r w:rsidRPr="000D74E5">
        <w:rPr>
          <w:rFonts w:ascii="Calibri"/>
        </w:rPr>
        <w:t xml:space="preserve">Taniguchi, Yuichi, Paul J. Choi, Gene-Wei Li, Huiyi Chen, Mohan Babu, Jeremy Hearn, Andrew Emili, and X. Sunney Xie. 2010. “Quantifying E. Coli Proteome and Transcriptome with Single-Molecule Sensitivity in Single Cells.” </w:t>
      </w:r>
      <w:r w:rsidRPr="000D74E5">
        <w:rPr>
          <w:rFonts w:ascii="Calibri"/>
          <w:i/>
          <w:iCs/>
        </w:rPr>
        <w:t>Science</w:t>
      </w:r>
      <w:r w:rsidRPr="000D74E5">
        <w:rPr>
          <w:rFonts w:ascii="Calibri"/>
        </w:rPr>
        <w:t xml:space="preserve"> 329 (5991): 533–38. doi:10.1126/science.1188308.</w:t>
      </w:r>
    </w:p>
    <w:p w14:paraId="33586A07" w14:textId="77777777" w:rsidR="000D74E5" w:rsidRPr="000D74E5" w:rsidRDefault="000D74E5" w:rsidP="000D74E5">
      <w:pPr>
        <w:pStyle w:val="Bibliography"/>
        <w:rPr>
          <w:rFonts w:ascii="Calibri"/>
        </w:rPr>
      </w:pPr>
      <w:r w:rsidRPr="000D74E5">
        <w:rPr>
          <w:rFonts w:ascii="Calibri"/>
        </w:rPr>
        <w:t xml:space="preserve">Vogel, Christine, and Edward M. Marcotte. 2012. “Insights into the Regulation of Protein Abundance from Proteomic and Transcriptomic Analyses.” </w:t>
      </w:r>
      <w:r w:rsidRPr="000D74E5">
        <w:rPr>
          <w:rFonts w:ascii="Calibri"/>
          <w:i/>
          <w:iCs/>
        </w:rPr>
        <w:t>Nature Reviews Genetics</w:t>
      </w:r>
      <w:r w:rsidRPr="000D74E5">
        <w:rPr>
          <w:rFonts w:ascii="Calibri"/>
        </w:rPr>
        <w:t xml:space="preserve"> 13 (4): 227–32. doi:10.1038/nrg3185.</w:t>
      </w:r>
    </w:p>
    <w:p w14:paraId="61E857D2" w14:textId="77777777" w:rsidR="000D74E5" w:rsidRPr="000D74E5" w:rsidRDefault="000D74E5" w:rsidP="000D74E5">
      <w:pPr>
        <w:pStyle w:val="Bibliography"/>
        <w:rPr>
          <w:rFonts w:ascii="Calibri"/>
        </w:rPr>
      </w:pPr>
      <w:r w:rsidRPr="000D74E5">
        <w:rPr>
          <w:rFonts w:ascii="Calibri"/>
        </w:rPr>
        <w:t xml:space="preserve">Weber, Arnim, Stephanie A. Kögl, and Kirsten Jung. 2006. “Time-Dependent Proteome Alterations under Osmotic Stress during Aerobic and Anaerobic Growth in Escherichia Coli.” </w:t>
      </w:r>
      <w:r w:rsidRPr="000D74E5">
        <w:rPr>
          <w:rFonts w:ascii="Calibri"/>
          <w:i/>
          <w:iCs/>
        </w:rPr>
        <w:t>Journal of Bacteriology</w:t>
      </w:r>
      <w:r w:rsidRPr="000D74E5">
        <w:rPr>
          <w:rFonts w:ascii="Calibri"/>
        </w:rPr>
        <w:t xml:space="preserve"> 188 (20): 7165–75. doi:10.1128/JB.00508-06.</w:t>
      </w:r>
    </w:p>
    <w:p w14:paraId="297E05DB" w14:textId="77777777" w:rsidR="000D74E5" w:rsidRPr="000D74E5" w:rsidRDefault="000D74E5" w:rsidP="000D74E5">
      <w:pPr>
        <w:pStyle w:val="Bibliography"/>
        <w:rPr>
          <w:rFonts w:ascii="Calibri"/>
        </w:rPr>
      </w:pPr>
      <w:r w:rsidRPr="000D74E5">
        <w:rPr>
          <w:rFonts w:ascii="Calibri"/>
        </w:rPr>
        <w:t xml:space="preserve">Weissenborn, D. L., N. Wittekindt, and T. J. Larson. 1992. “Structure and Regulation of the glpFK Operon Encoding Glycerol Diffusion Facilitator and Glycerol Kinase of Escherichia Coli K-12.” </w:t>
      </w:r>
      <w:r w:rsidRPr="000D74E5">
        <w:rPr>
          <w:rFonts w:ascii="Calibri"/>
          <w:i/>
          <w:iCs/>
        </w:rPr>
        <w:t>Journal of Biological Chemistry</w:t>
      </w:r>
      <w:r w:rsidRPr="000D74E5">
        <w:rPr>
          <w:rFonts w:ascii="Calibri"/>
        </w:rPr>
        <w:t xml:space="preserve"> 267 (9): 6122–31.</w:t>
      </w:r>
    </w:p>
    <w:p w14:paraId="62B371FB" w14:textId="77777777" w:rsidR="000D74E5" w:rsidRPr="000D74E5" w:rsidRDefault="000D74E5" w:rsidP="000D74E5">
      <w:pPr>
        <w:pStyle w:val="Bibliography"/>
        <w:rPr>
          <w:rFonts w:ascii="Calibri"/>
        </w:rPr>
      </w:pPr>
      <w:r w:rsidRPr="000D74E5">
        <w:rPr>
          <w:rFonts w:ascii="Calibri"/>
        </w:rPr>
        <w:t xml:space="preserve">Yoon, Sung Ho, Mee-Jung Han, Sang Yup Lee, Ki Jun Jeong, and Jong-Shin Yoo. 2003. “Combined Transcriptome and Proteome Analysis of Escherichia Coli during High Cell Density Culture.” </w:t>
      </w:r>
      <w:r w:rsidRPr="000D74E5">
        <w:rPr>
          <w:rFonts w:ascii="Calibri"/>
          <w:i/>
          <w:iCs/>
        </w:rPr>
        <w:t>Biotechnology and Bioengineering</w:t>
      </w:r>
      <w:r w:rsidRPr="000D74E5">
        <w:rPr>
          <w:rFonts w:ascii="Calibri"/>
        </w:rPr>
        <w:t xml:space="preserve"> 81 (7): 753–67. doi:10.1002/bit.10626.</w:t>
      </w:r>
    </w:p>
    <w:p w14:paraId="192898B5" w14:textId="77777777" w:rsidR="000D74E5" w:rsidRPr="000D74E5" w:rsidRDefault="000D74E5" w:rsidP="000D74E5">
      <w:pPr>
        <w:pStyle w:val="Bibliography"/>
        <w:rPr>
          <w:rFonts w:ascii="Calibri"/>
        </w:rPr>
      </w:pPr>
      <w:r w:rsidRPr="000D74E5">
        <w:rPr>
          <w:rFonts w:ascii="Calibri"/>
        </w:rPr>
        <w:t xml:space="preserve">Zhang, W., F. Li, and L. Nie. 2010. “Integrating Multiple ‘Omics’ Analysis for Microbial Biology: Application and Methodologies.” </w:t>
      </w:r>
      <w:r w:rsidRPr="000D74E5">
        <w:rPr>
          <w:rFonts w:ascii="Calibri"/>
          <w:i/>
          <w:iCs/>
        </w:rPr>
        <w:t>Microbiology</w:t>
      </w:r>
      <w:r w:rsidRPr="000D74E5">
        <w:rPr>
          <w:rFonts w:ascii="Calibri"/>
        </w:rPr>
        <w:t xml:space="preserve"> 156 (2): 287–301. doi:10.1099/mic.0.034793-0.</w:t>
      </w:r>
    </w:p>
    <w:p w14:paraId="4932E739" w14:textId="2B08A5A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6-05-17T13:38:00Z" w:initials="CW">
    <w:p w14:paraId="7BB6DB9E" w14:textId="6D9CD1C3" w:rsidR="00427E9A" w:rsidRDefault="00427E9A">
      <w:pPr>
        <w:pStyle w:val="CommentText"/>
      </w:pPr>
      <w:r>
        <w:rPr>
          <w:rStyle w:val="CommentReference"/>
        </w:rPr>
        <w:annotationRef/>
      </w:r>
      <w:r>
        <w:t>Is this correct?</w:t>
      </w:r>
    </w:p>
  </w:comment>
  <w:comment w:id="3" w:author="Claus Wilke" w:date="2016-05-15T20:30:00Z" w:initials="CW">
    <w:p w14:paraId="7D8AFFFF" w14:textId="067632C6" w:rsidR="00427E9A" w:rsidRDefault="00427E9A">
      <w:pPr>
        <w:pStyle w:val="CommentText"/>
      </w:pPr>
      <w:r>
        <w:rPr>
          <w:rStyle w:val="CommentReference"/>
        </w:rPr>
        <w:annotationRef/>
      </w:r>
      <w:r>
        <w:t>Is this correct?</w:t>
      </w:r>
    </w:p>
  </w:comment>
  <w:comment w:id="4" w:author="Claus Wilke" w:date="2016-05-17T14:06:00Z" w:initials="CW">
    <w:p w14:paraId="70FC82D6" w14:textId="4A5B1FC8" w:rsidR="00427E9A" w:rsidRDefault="00427E9A">
      <w:pPr>
        <w:pStyle w:val="CommentText"/>
      </w:pPr>
      <w:r>
        <w:rPr>
          <w:rStyle w:val="CommentReference"/>
        </w:rPr>
        <w:annotationRef/>
      </w:r>
      <w:r>
        <w:t>Is this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427E9A" w:rsidRDefault="00427E9A" w:rsidP="00522EEC">
      <w:r>
        <w:separator/>
      </w:r>
    </w:p>
  </w:endnote>
  <w:endnote w:type="continuationSeparator" w:id="0">
    <w:p w14:paraId="5395B59D" w14:textId="77777777" w:rsidR="00427E9A" w:rsidRDefault="00427E9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427E9A" w:rsidRDefault="00427E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427E9A" w:rsidRDefault="00427E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427E9A" w:rsidRDefault="00427E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881">
      <w:rPr>
        <w:rStyle w:val="PageNumber"/>
        <w:noProof/>
      </w:rPr>
      <w:t>4</w:t>
    </w:r>
    <w:r>
      <w:rPr>
        <w:rStyle w:val="PageNumber"/>
      </w:rPr>
      <w:fldChar w:fldCharType="end"/>
    </w:r>
  </w:p>
  <w:p w14:paraId="7B2AAECF" w14:textId="77777777" w:rsidR="00427E9A" w:rsidRDefault="00427E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427E9A" w:rsidRDefault="00427E9A" w:rsidP="00522EEC">
      <w:r>
        <w:separator/>
      </w:r>
    </w:p>
  </w:footnote>
  <w:footnote w:type="continuationSeparator" w:id="0">
    <w:p w14:paraId="455F0858" w14:textId="77777777" w:rsidR="00427E9A" w:rsidRDefault="00427E9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6F8E"/>
    <w:rsid w:val="0036081D"/>
    <w:rsid w:val="00360CF7"/>
    <w:rsid w:val="003641BC"/>
    <w:rsid w:val="00365D66"/>
    <w:rsid w:val="0036669B"/>
    <w:rsid w:val="00370076"/>
    <w:rsid w:val="0037039B"/>
    <w:rsid w:val="00373658"/>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346B9"/>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A5EFF"/>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E15CA"/>
    <w:rsid w:val="00BE48B5"/>
    <w:rsid w:val="00BE537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61"/>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2468E-C1A7-3046-8082-3E625841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10</Pages>
  <Words>22286</Words>
  <Characters>127035</Characters>
  <Application>Microsoft Macintosh Word</Application>
  <DocSecurity>0</DocSecurity>
  <Lines>1058</Lines>
  <Paragraphs>298</Paragraphs>
  <ScaleCrop>false</ScaleCrop>
  <Company>ut austin</Company>
  <LinksUpToDate>false</LinksUpToDate>
  <CharactersWithSpaces>149023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154</cp:revision>
  <dcterms:created xsi:type="dcterms:W3CDTF">2016-01-06T19:03:00Z</dcterms:created>
  <dcterms:modified xsi:type="dcterms:W3CDTF">2016-05-17T21:53:00Z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id="VsbbiPUB"/&gt;&lt;style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