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63CBBF5D"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FD77EC">
        <w:t xml:space="preserve">Bart Smith,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39EB1C1D" w:rsidR="00E44657" w:rsidRDefault="009E1177" w:rsidP="00E44657">
      <w:r>
        <w:t xml:space="preserve">Modern systems biology requires extensive, carefully curated </w:t>
      </w:r>
      <w:r w:rsidR="0083665D">
        <w:t>measurement</w:t>
      </w:r>
      <w:r>
        <w:t xml:space="preserve"> </w:t>
      </w:r>
      <w:r w:rsidR="0083665D">
        <w:t xml:space="preserve">of cellular components in response to different environmental conditions. While modern high-throughput methods have made transcriptomics and proteomics data 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Pr="009E1177">
        <w:t xml:space="preserve">, and we consider four the 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we find numerous differentially-expressed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6E8A7169"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31DC6E74" w14:textId="5C3CDB70" w:rsidR="002B428C" w:rsidRPr="00CA028F" w:rsidRDefault="00AE1031" w:rsidP="001E0F72">
      <w:r w:rsidRPr="009F2305">
        <w:rPr>
          <w:color w:val="000000" w:themeColor="text1"/>
          <w:highlight w:val="lightGray"/>
        </w:rPr>
        <w:t>Given the growing interest in integrative modeling approaches there is a pressing need for high quality genome-wide data that is comparable across cellular subsystems</w:t>
      </w:r>
      <w:r w:rsidR="00E07902" w:rsidRPr="009F2305">
        <w:rPr>
          <w:color w:val="000000" w:themeColor="text1"/>
          <w:highlight w:val="lightGray"/>
        </w:rPr>
        <w:t xml:space="preserve"> under many different external conditions</w:t>
      </w:r>
      <w:r w:rsidRPr="009F2305">
        <w:rPr>
          <w:color w:val="000000" w:themeColor="text1"/>
          <w:highlight w:val="lightGray"/>
        </w:rPr>
        <w:t>.</w:t>
      </w:r>
      <w:r w:rsidR="00DA13EE" w:rsidRPr="009F2305">
        <w:rPr>
          <w:color w:val="000000" w:themeColor="text1"/>
          <w:highlight w:val="lightGray"/>
        </w:rPr>
        <w:t xml:space="preserve"> </w:t>
      </w:r>
      <w:r w:rsidR="00DA13EE" w:rsidRPr="009F2305">
        <w:rPr>
          <w:i/>
          <w:color w:val="000000" w:themeColor="text1"/>
          <w:highlight w:val="lightGray"/>
        </w:rPr>
        <w:t>E.</w:t>
      </w:r>
      <w:r w:rsidR="009F2305">
        <w:rPr>
          <w:i/>
          <w:color w:val="000000" w:themeColor="text1"/>
          <w:highlight w:val="lightGray"/>
        </w:rPr>
        <w:t xml:space="preserve"> </w:t>
      </w:r>
      <w:r w:rsidR="00BF53F6" w:rsidRPr="009F2305">
        <w:rPr>
          <w:i/>
          <w:color w:val="000000" w:themeColor="text1"/>
          <w:highlight w:val="lightGray"/>
        </w:rPr>
        <w:t>c</w:t>
      </w:r>
      <w:r w:rsidR="00DA13EE" w:rsidRPr="009F2305">
        <w:rPr>
          <w:i/>
          <w:color w:val="000000" w:themeColor="text1"/>
          <w:highlight w:val="lightGray"/>
        </w:rPr>
        <w:t>oli</w:t>
      </w:r>
      <w:r w:rsidR="00ED05E0" w:rsidRPr="009F2305">
        <w:rPr>
          <w:color w:val="000000" w:themeColor="text1"/>
          <w:highlight w:val="lightGray"/>
        </w:rPr>
        <w:t xml:space="preserve"> is an ideal</w:t>
      </w:r>
      <w:r w:rsidR="00DA13EE" w:rsidRPr="009F2305">
        <w:rPr>
          <w:color w:val="000000" w:themeColor="text1"/>
          <w:highlight w:val="lightGray"/>
        </w:rPr>
        <w:t xml:space="preserve"> organism to study </w:t>
      </w:r>
      <w:r w:rsidR="00162DB1" w:rsidRPr="009F2305">
        <w:rPr>
          <w:color w:val="000000" w:themeColor="text1"/>
          <w:highlight w:val="lightGray"/>
        </w:rPr>
        <w:t>high quality</w:t>
      </w:r>
      <w:r w:rsidR="00043BB9" w:rsidRPr="009F2305">
        <w:rPr>
          <w:color w:val="000000" w:themeColor="text1"/>
          <w:highlight w:val="lightGray"/>
        </w:rPr>
        <w:t>, genome-</w:t>
      </w:r>
      <w:r w:rsidR="00162DB1" w:rsidRPr="009F2305">
        <w:rPr>
          <w:color w:val="000000" w:themeColor="text1"/>
          <w:highlight w:val="lightGray"/>
        </w:rPr>
        <w:t>wide</w:t>
      </w:r>
      <w:r w:rsidR="00043BB9" w:rsidRPr="009F2305">
        <w:rPr>
          <w:color w:val="000000" w:themeColor="text1"/>
          <w:highlight w:val="lightGray"/>
        </w:rPr>
        <w:t>,</w:t>
      </w:r>
      <w:r w:rsidR="00162DB1" w:rsidRPr="009F2305">
        <w:rPr>
          <w:color w:val="000000" w:themeColor="text1"/>
          <w:highlight w:val="lightGray"/>
        </w:rPr>
        <w:t xml:space="preserve"> multi level </w:t>
      </w:r>
      <w:r w:rsidR="00043BB9" w:rsidRPr="009F2305">
        <w:rPr>
          <w:color w:val="000000" w:themeColor="text1"/>
          <w:highlight w:val="lightGray"/>
        </w:rPr>
        <w:t xml:space="preserve">regulatory </w:t>
      </w:r>
      <w:r w:rsidR="00DA13EE" w:rsidRPr="009F2305">
        <w:rPr>
          <w:color w:val="000000" w:themeColor="text1"/>
          <w:highlight w:val="lightGray"/>
        </w:rPr>
        <w:t>effec</w:t>
      </w:r>
      <w:r w:rsidR="00162DB1" w:rsidRPr="009F2305">
        <w:rPr>
          <w:color w:val="000000" w:themeColor="text1"/>
          <w:highlight w:val="lightGray"/>
        </w:rPr>
        <w:t xml:space="preserve">ts of external conditions, since </w:t>
      </w:r>
      <w:r w:rsidR="00DA13EE" w:rsidRPr="009F2305">
        <w:rPr>
          <w:color w:val="000000" w:themeColor="text1"/>
          <w:highlight w:val="lightGray"/>
        </w:rPr>
        <w:t>it is well adapted to laboratory environment</w:t>
      </w:r>
      <w:r w:rsidR="00ED05E0" w:rsidRPr="009F2305">
        <w:rPr>
          <w:color w:val="000000" w:themeColor="text1"/>
          <w:highlight w:val="lightGray"/>
        </w:rPr>
        <w:t xml:space="preserve"> </w:t>
      </w:r>
      <w:r w:rsidR="00DB5BD2" w:rsidRPr="009F2305">
        <w:rPr>
          <w:color w:val="000000" w:themeColor="text1"/>
          <w:highlight w:val="lightGray"/>
        </w:rPr>
        <w:fldChar w:fldCharType="begin"/>
      </w:r>
      <w:r w:rsidR="00AE3578" w:rsidRPr="009F2305">
        <w:rPr>
          <w:color w:val="000000" w:themeColor="text1"/>
          <w:highlight w:val="lightGray"/>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9F2305">
        <w:rPr>
          <w:color w:val="000000" w:themeColor="text1"/>
          <w:highlight w:val="lightGray"/>
        </w:rPr>
        <w:fldChar w:fldCharType="separate"/>
      </w:r>
      <w:r w:rsidR="00AE3578" w:rsidRPr="009F2305">
        <w:rPr>
          <w:noProof/>
          <w:color w:val="000000" w:themeColor="text1"/>
          <w:highlight w:val="lightGray"/>
        </w:rPr>
        <w:t>(Lee 1996)</w:t>
      </w:r>
      <w:r w:rsidR="00DB5BD2" w:rsidRPr="009F2305">
        <w:rPr>
          <w:color w:val="000000" w:themeColor="text1"/>
          <w:highlight w:val="lightGray"/>
        </w:rPr>
        <w:fldChar w:fldCharType="end"/>
      </w:r>
      <w:r w:rsidR="00DB5BD2" w:rsidRPr="009F2305">
        <w:rPr>
          <w:color w:val="000000" w:themeColor="text1"/>
          <w:highlight w:val="lightGray"/>
        </w:rPr>
        <w:t xml:space="preserve"> and</w:t>
      </w:r>
      <w:r w:rsidR="00DA13EE" w:rsidRPr="009F2305">
        <w:rPr>
          <w:color w:val="000000" w:themeColor="text1"/>
          <w:highlight w:val="lightGray"/>
        </w:rPr>
        <w:t xml:space="preserve"> </w:t>
      </w:r>
      <w:r w:rsidR="00DB5BD2" w:rsidRPr="009F2305">
        <w:rPr>
          <w:color w:val="000000" w:themeColor="text1"/>
          <w:highlight w:val="lightGray"/>
        </w:rPr>
        <w:t>was one of th</w:t>
      </w:r>
      <w:r w:rsidR="00043BB9" w:rsidRPr="009F2305">
        <w:rPr>
          <w:color w:val="000000" w:themeColor="text1"/>
          <w:highlight w:val="lightGray"/>
        </w:rPr>
        <w:t>e first organisms whose genome wa</w:t>
      </w:r>
      <w:r w:rsidR="00DB5BD2" w:rsidRPr="009F2305">
        <w:rPr>
          <w:color w:val="000000" w:themeColor="text1"/>
          <w:highlight w:val="lightGray"/>
        </w:rPr>
        <w:t xml:space="preserve">s sequenced </w:t>
      </w:r>
      <w:r w:rsidR="00890612" w:rsidRPr="009F2305">
        <w:rPr>
          <w:color w:val="000000" w:themeColor="text1"/>
          <w:highlight w:val="lightGray"/>
        </w:rPr>
        <w:fldChar w:fldCharType="begin"/>
      </w:r>
      <w:r w:rsidR="00AE3578" w:rsidRPr="009F2305">
        <w:rPr>
          <w:color w:val="000000" w:themeColor="text1"/>
          <w:highlight w:val="lightGray"/>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9F2305">
        <w:rPr>
          <w:color w:val="000000" w:themeColor="text1"/>
          <w:highlight w:val="lightGray"/>
        </w:rPr>
        <w:fldChar w:fldCharType="separate"/>
      </w:r>
      <w:r w:rsidR="00AE3578" w:rsidRPr="009F2305">
        <w:rPr>
          <w:noProof/>
          <w:color w:val="000000" w:themeColor="text1"/>
          <w:highlight w:val="lightGray"/>
        </w:rPr>
        <w:t>(Blattner et al. 1997)</w:t>
      </w:r>
      <w:r w:rsidR="00890612" w:rsidRPr="009F2305">
        <w:rPr>
          <w:color w:val="000000" w:themeColor="text1"/>
          <w:highlight w:val="lightGray"/>
        </w:rPr>
        <w:fldChar w:fldCharType="end"/>
      </w:r>
      <w:r w:rsidR="00DA13EE" w:rsidRPr="009F2305">
        <w:rPr>
          <w:color w:val="000000" w:themeColor="text1"/>
          <w:highlight w:val="lightGray"/>
        </w:rPr>
        <w:t>.</w:t>
      </w:r>
      <w:r w:rsidR="00044BD7" w:rsidRPr="009F2305">
        <w:rPr>
          <w:color w:val="0000FF"/>
          <w:highlight w:val="lightGray"/>
        </w:rPr>
        <w:t xml:space="preserve"> </w:t>
      </w:r>
      <w:r w:rsidR="00F074D6" w:rsidRPr="009F2305">
        <w:rPr>
          <w:highlight w:val="lightGray"/>
        </w:rPr>
        <w:t>There have been multiple studies related</w:t>
      </w:r>
      <w:r w:rsidR="00044BD7" w:rsidRPr="009F2305">
        <w:rPr>
          <w:highlight w:val="lightGray"/>
        </w:rPr>
        <w:t xml:space="preserve"> with </w:t>
      </w:r>
      <w:r w:rsidR="00BF53F6" w:rsidRPr="009F2305">
        <w:rPr>
          <w:i/>
          <w:highlight w:val="lightGray"/>
        </w:rPr>
        <w:t>E.</w:t>
      </w:r>
      <w:r w:rsidR="009F2305">
        <w:rPr>
          <w:i/>
          <w:highlight w:val="lightGray"/>
        </w:rPr>
        <w:t xml:space="preserve"> </w:t>
      </w:r>
      <w:r w:rsidR="00BF53F6" w:rsidRPr="009F2305">
        <w:rPr>
          <w:i/>
          <w:highlight w:val="lightGray"/>
        </w:rPr>
        <w:t>c</w:t>
      </w:r>
      <w:r w:rsidR="00044BD7" w:rsidRPr="009F2305">
        <w:rPr>
          <w:i/>
          <w:highlight w:val="lightGray"/>
        </w:rPr>
        <w:t>oli</w:t>
      </w:r>
      <w:r w:rsidR="00044BD7" w:rsidRPr="009F2305">
        <w:rPr>
          <w:highlight w:val="lightGray"/>
        </w:rPr>
        <w:t xml:space="preserve"> from that time</w:t>
      </w:r>
      <w:r w:rsidR="00CA5118" w:rsidRPr="009F2305">
        <w:rPr>
          <w:highlight w:val="lightGray"/>
        </w:rPr>
        <w:t xml:space="preserve"> related with cell response </w:t>
      </w:r>
      <w:r w:rsidR="00CA5118" w:rsidRPr="009F2305">
        <w:rPr>
          <w:highlight w:val="lightGray"/>
        </w:rPr>
        <w:lastRenderedPageBreak/>
        <w:t>to multiple different conditions</w:t>
      </w:r>
      <w:r w:rsidR="00044BD7" w:rsidRPr="009F2305">
        <w:rPr>
          <w:highlight w:val="lightGray"/>
        </w:rPr>
        <w:t>.</w:t>
      </w:r>
      <w:r w:rsidR="00CA5118" w:rsidRPr="009F2305">
        <w:rPr>
          <w:highlight w:val="lightGray"/>
        </w:rPr>
        <w:t xml:space="preserve"> </w:t>
      </w:r>
      <w:r w:rsidR="00CA5118" w:rsidRPr="009F2305">
        <w:rPr>
          <w:i/>
          <w:highlight w:val="lightGray"/>
        </w:rPr>
        <w:t>E. coil</w:t>
      </w:r>
      <w:r w:rsidR="00CA5118" w:rsidRPr="009F2305">
        <w:rPr>
          <w:highlight w:val="lightGray"/>
        </w:rPr>
        <w:t xml:space="preserve"> transcriptome and proteome was analyzed in high density cultivation. Expression of most of amino acid biosynthesis genes was down-regulated and expression of chaperone genes are up-regulated as cell density increased, which suggest high cell density is stressful for cells </w:t>
      </w:r>
      <w:r w:rsidR="00CA5118" w:rsidRPr="009F2305">
        <w:rPr>
          <w:highlight w:val="lightGray"/>
        </w:rPr>
        <w:fldChar w:fldCharType="begin"/>
      </w:r>
      <w:r w:rsidR="00CA5118" w:rsidRPr="009F2305">
        <w:rPr>
          <w:highlight w:val="lightGray"/>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F2305">
        <w:rPr>
          <w:highlight w:val="lightGray"/>
        </w:rPr>
        <w:fldChar w:fldCharType="separate"/>
      </w:r>
      <w:r w:rsidR="00CA5118" w:rsidRPr="009F2305">
        <w:rPr>
          <w:noProof/>
          <w:highlight w:val="lightGray"/>
        </w:rPr>
        <w:t>(Yoon et al. 2003)</w:t>
      </w:r>
      <w:r w:rsidR="00CA5118" w:rsidRPr="009F2305">
        <w:rPr>
          <w:highlight w:val="lightGray"/>
        </w:rPr>
        <w:fldChar w:fldCharType="end"/>
      </w:r>
      <w:r w:rsidR="00CA5118" w:rsidRPr="009F2305">
        <w:rPr>
          <w:highlight w:val="lightGray"/>
        </w:rPr>
        <w:t>.</w:t>
      </w:r>
      <w:r w:rsidR="00BF53F6" w:rsidRPr="009F2305">
        <w:rPr>
          <w:highlight w:val="lightGray"/>
        </w:rPr>
        <w:t xml:space="preserve"> </w:t>
      </w:r>
      <w:r w:rsidR="00BF53F6" w:rsidRPr="009F2305">
        <w:rPr>
          <w:i/>
          <w:highlight w:val="lightGray"/>
        </w:rPr>
        <w:t>E. coli</w:t>
      </w:r>
      <w:r w:rsidR="00BF53F6" w:rsidRPr="009F2305">
        <w:rPr>
          <w:highlight w:val="lightGray"/>
        </w:rPr>
        <w:t>’s response to temperature in transcriptional level was investigated.</w:t>
      </w:r>
      <w:r w:rsidR="00044BD7" w:rsidRPr="009F2305">
        <w:rPr>
          <w:highlight w:val="lightGray"/>
        </w:rPr>
        <w:t xml:space="preserve"> </w:t>
      </w:r>
      <w:r w:rsidR="00CA5118" w:rsidRPr="009F2305">
        <w:rPr>
          <w:highlight w:val="lightGray"/>
        </w:rPr>
        <w:t>Study</w:t>
      </w:r>
      <w:r w:rsidR="00BF53F6" w:rsidRPr="009F2305">
        <w:rPr>
          <w:highlight w:val="lightGray"/>
        </w:rPr>
        <w:t xml:space="preserve"> found a decrease in glucose uptake rate and in consistence with this glycolysis and the PTS sugar transport systems show decreased expression. In addition to that amino acid biosynthesis and transport also have reduced expression levels. In general findings indicate a reduced metabolism and growth </w:t>
      </w:r>
      <w:r w:rsidR="00CA5118" w:rsidRPr="009F2305">
        <w:rPr>
          <w:highlight w:val="lightGray"/>
        </w:rPr>
        <w:fldChar w:fldCharType="begin"/>
      </w:r>
      <w:r w:rsidR="00CA5118" w:rsidRPr="009F2305">
        <w:rPr>
          <w:highlight w:val="lightGray"/>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9F2305">
        <w:rPr>
          <w:highlight w:val="lightGray"/>
        </w:rPr>
        <w:fldChar w:fldCharType="separate"/>
      </w:r>
      <w:r w:rsidR="00CA5118" w:rsidRPr="009F2305">
        <w:rPr>
          <w:noProof/>
          <w:highlight w:val="lightGray"/>
        </w:rPr>
        <w:t>(Gadgil, Kapur, and Hu 2005)</w:t>
      </w:r>
      <w:r w:rsidR="00CA5118" w:rsidRPr="009F2305">
        <w:rPr>
          <w:highlight w:val="lightGray"/>
        </w:rPr>
        <w:fldChar w:fldCharType="end"/>
      </w:r>
      <w:r w:rsidR="00BF53F6" w:rsidRPr="009F2305">
        <w:rPr>
          <w:highlight w:val="lightGray"/>
        </w:rPr>
        <w:t xml:space="preserve">. </w:t>
      </w:r>
      <w:r w:rsidR="009F2305">
        <w:rPr>
          <w:i/>
          <w:highlight w:val="lightGray"/>
        </w:rPr>
        <w:t>E. c</w:t>
      </w:r>
      <w:r w:rsidR="00044BD7" w:rsidRPr="009F2305">
        <w:rPr>
          <w:i/>
          <w:highlight w:val="lightGray"/>
        </w:rPr>
        <w:t>oli</w:t>
      </w:r>
      <w:r w:rsidR="00044BD7" w:rsidRPr="009F2305">
        <w:rPr>
          <w:highlight w:val="lightGray"/>
        </w:rPr>
        <w:t xml:space="preserve"> proteome and </w:t>
      </w:r>
      <w:r w:rsidR="00EB454C" w:rsidRPr="009F2305">
        <w:rPr>
          <w:highlight w:val="lightGray"/>
        </w:rPr>
        <w:t>transcriptome</w:t>
      </w:r>
      <w:r w:rsidR="00044BD7" w:rsidRPr="009F2305">
        <w:rPr>
          <w:highlight w:val="lightGray"/>
        </w:rPr>
        <w:t xml:space="preserve"> was analyzed in single molecule level on single cells. The single molecule study found almost all proteins, protein abundance can be modeled with gamma distribution that can be represented with two fitting parameters related with transcription rate and burst size. In addition, the study can not find correlation between protein and mRNA copy numbers</w:t>
      </w:r>
      <w:r w:rsidR="00CA5118" w:rsidRPr="009F2305">
        <w:rPr>
          <w:highlight w:val="lightGray"/>
        </w:rPr>
        <w:t xml:space="preserve"> </w:t>
      </w:r>
      <w:r w:rsidR="00CA5118" w:rsidRPr="009F2305">
        <w:rPr>
          <w:highlight w:val="lightGray"/>
        </w:rPr>
        <w:fldChar w:fldCharType="begin"/>
      </w:r>
      <w:r w:rsidR="00CA5118" w:rsidRPr="009F2305">
        <w:rPr>
          <w:highlight w:val="lightGray"/>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9F2305">
        <w:rPr>
          <w:highlight w:val="lightGray"/>
        </w:rPr>
        <w:fldChar w:fldCharType="separate"/>
      </w:r>
      <w:r w:rsidR="00CA5118" w:rsidRPr="009F2305">
        <w:rPr>
          <w:noProof/>
          <w:highlight w:val="lightGray"/>
        </w:rPr>
        <w:t>(Taniguchi et al. 2010)</w:t>
      </w:r>
      <w:r w:rsidR="00CA5118" w:rsidRPr="009F2305">
        <w:rPr>
          <w:highlight w:val="lightGray"/>
        </w:rPr>
        <w:fldChar w:fldCharType="end"/>
      </w:r>
      <w:r w:rsidR="00044BD7" w:rsidRPr="009F2305">
        <w:rPr>
          <w:highlight w:val="lightGray"/>
        </w:rPr>
        <w:t>.</w:t>
      </w:r>
      <w:r w:rsidR="002B428C" w:rsidRPr="009F2305">
        <w:rPr>
          <w:highlight w:val="lightGray"/>
        </w:rPr>
        <w:t xml:space="preserve"> Time series behavior of the organism was also investigated multiple times. In one study </w:t>
      </w:r>
      <w:r w:rsidR="001E0F72" w:rsidRPr="009F2305">
        <w:rPr>
          <w:highlight w:val="lightGray"/>
        </w:rPr>
        <w:t xml:space="preserve">modulation of transcriptional time series in </w:t>
      </w:r>
      <w:r w:rsidR="001E0F72" w:rsidRPr="009F2305">
        <w:rPr>
          <w:i/>
          <w:highlight w:val="lightGray"/>
        </w:rPr>
        <w:t>E. coli</w:t>
      </w:r>
      <w:r w:rsidR="001E0F72" w:rsidRPr="009F2305">
        <w:rPr>
          <w:highlight w:val="lightGray"/>
        </w:rPr>
        <w:t xml:space="preserve"> by </w:t>
      </w:r>
      <w:r w:rsidR="002B428C" w:rsidRPr="009F2305">
        <w:rPr>
          <w:highlight w:val="lightGray"/>
        </w:rPr>
        <w:t xml:space="preserve">outside stimulus and </w:t>
      </w:r>
      <w:r w:rsidR="001E0F72" w:rsidRPr="009F2305">
        <w:rPr>
          <w:rFonts w:eastAsia="Times New Roman" w:cs="Times New Roman"/>
          <w:highlight w:val="lightGray"/>
        </w:rPr>
        <w:t xml:space="preserve">gene expression levels was </w:t>
      </w:r>
      <w:r w:rsidR="001E0F72" w:rsidRPr="009F2305">
        <w:rPr>
          <w:highlight w:val="lightGray"/>
        </w:rPr>
        <w:t>investigated by</w:t>
      </w:r>
      <w:r w:rsidR="002B428C" w:rsidRPr="009F2305">
        <w:rPr>
          <w:highlight w:val="lightGray"/>
        </w:rPr>
        <w:t xml:space="preserve"> Shannon's mutual information function</w:t>
      </w:r>
      <w:r w:rsidR="001E0F72" w:rsidRPr="009F2305">
        <w:rPr>
          <w:highlight w:val="lightGray"/>
        </w:rPr>
        <w:t xml:space="preserve"> </w:t>
      </w:r>
      <w:r w:rsidR="001E0F72" w:rsidRPr="009F2305">
        <w:rPr>
          <w:highlight w:val="lightGray"/>
        </w:rPr>
        <w:fldChar w:fldCharType="begin"/>
      </w:r>
      <w:r w:rsidR="001E0F72" w:rsidRPr="009F2305">
        <w:rPr>
          <w:highlight w:val="lightGray"/>
        </w:rPr>
        <w:instrText xml:space="preserve"> ADDIN ZOTERO_ITEM CSL_CITATION {"citationID":"6AfoCjMP","properties":{"formattedCitation":"(So et al. 2011)","plainCitation":"(So et al. 2011)"},"citationItems":[{"id":182,"uris":["http://zotero.org/users/local/FOPKHRFW/items/5TPHEQ4B"],"uri":["http://zotero.org/users/local/FOPKHRFW/items/5TPHEQ4B"],"itemData":{"id":182,"type":"article-journal","title":"General properties of transcriptional time series in Escherichia coli","container-title":"Nature Genetics","page":"554-560","volume":"43","issue":"6","source":"www.nature.com","abstract":"Gene activity is described by the time series of discrete, stochastic mRNA production events. This transcriptional time series shows intermittent, bursty behavior. One consequence of this temporal intricacy is that gene expression can be tuned by varying different features of the time series. Here we quantify copy-number statistics of mRNA from 20 Escherichia coli promoters using single-molecule fluorescence in situ hybridization in order to characterize the general properties of these transcriptional time series. We find that the degree of burstiness is correlated with gene expression level but is largely independent of other parameters of gene regulation. The observed behavior can be explained by the underlying variation in the duration of bursting events. Using Shannon's mutual information function, we estimate the mutual information transmitted between an outside stimulus, such as the extracellular concentration of inducer molecules, and intracellular levels of mRNA. This suggests that the outside stimulus transmits information reflected in the properties of transcriptional time series.\nView full text","DOI":"10.1038/ng.821","ISSN":"1061-4036","journalAbbreviation":"Nat Genet","language":"en","author":[{"family":"So","given":"Lok-hang"},{"family":"Ghosh","given":"Anandamohan"},{"family":"Zong","given":"Chenghang"},{"family":"Sepúlveda","given":"Leonardo A."},{"family":"Segev","given":"Ronen"},{"family":"Golding","given":"Ido"}],"issued":{"date-parts":[["2011",6]]}}}],"schema":"https://github.com/citation-style-language/schema/raw/master/csl-citation.json"} </w:instrText>
      </w:r>
      <w:r w:rsidR="001E0F72" w:rsidRPr="009F2305">
        <w:rPr>
          <w:highlight w:val="lightGray"/>
        </w:rPr>
        <w:fldChar w:fldCharType="separate"/>
      </w:r>
      <w:r w:rsidR="001E0F72" w:rsidRPr="009F2305">
        <w:rPr>
          <w:highlight w:val="lightGray"/>
        </w:rPr>
        <w:t>(So et al. 2011)</w:t>
      </w:r>
      <w:r w:rsidR="001E0F72" w:rsidRPr="009F2305">
        <w:rPr>
          <w:highlight w:val="lightGray"/>
        </w:rPr>
        <w:fldChar w:fldCharType="end"/>
      </w:r>
      <w:r w:rsidR="001E0F72" w:rsidRPr="009F2305">
        <w:rPr>
          <w:highlight w:val="lightGray"/>
        </w:rPr>
        <w:t>, and time series behavior</w:t>
      </w:r>
      <w:r w:rsidR="009F2305">
        <w:rPr>
          <w:highlight w:val="lightGray"/>
        </w:rPr>
        <w:t xml:space="preserve"> of </w:t>
      </w:r>
      <w:r w:rsidR="009F2305" w:rsidRPr="009F2305">
        <w:rPr>
          <w:i/>
          <w:highlight w:val="lightGray"/>
        </w:rPr>
        <w:t>E. c</w:t>
      </w:r>
      <w:r w:rsidR="001E0F72" w:rsidRPr="009F2305">
        <w:rPr>
          <w:i/>
          <w:highlight w:val="lightGray"/>
        </w:rPr>
        <w:t>oli</w:t>
      </w:r>
      <w:r w:rsidR="001E0F72" w:rsidRPr="009F2305">
        <w:rPr>
          <w:highlight w:val="lightGray"/>
        </w:rPr>
        <w:t xml:space="preserve"> </w:t>
      </w:r>
      <w:r w:rsidR="00272744" w:rsidRPr="009F2305">
        <w:rPr>
          <w:highlight w:val="lightGray"/>
        </w:rPr>
        <w:t>in terms of transcriptomics, proteomics, lipids and central metabolism flux was investigated. Wide range down regulation of mRNA was observed in glucose starvation</w:t>
      </w:r>
      <w:r w:rsidR="002B428C" w:rsidRPr="009F2305">
        <w:rPr>
          <w:highlight w:val="lightGray"/>
        </w:rPr>
        <w:t xml:space="preserve">. </w:t>
      </w:r>
      <w:r w:rsidR="00272744" w:rsidRPr="009F2305">
        <w:rPr>
          <w:highlight w:val="lightGray"/>
        </w:rPr>
        <w:t xml:space="preserve">On the other hand a varied response of protein abundances was observed. While proteins involved energy-intensive processes were down regulated, proteins involved in nutrient metabolism remain </w:t>
      </w:r>
      <w:r w:rsidR="00CA028F" w:rsidRPr="009F2305">
        <w:rPr>
          <w:highlight w:val="lightGray"/>
        </w:rPr>
        <w:t>constant</w:t>
      </w:r>
      <w:r w:rsidR="00272744" w:rsidRPr="009F2305">
        <w:rPr>
          <w:highlight w:val="lightGray"/>
        </w:rPr>
        <w:t xml:space="preserve">, </w:t>
      </w:r>
      <w:r w:rsidR="00CA028F" w:rsidRPr="009F2305">
        <w:rPr>
          <w:highlight w:val="lightGray"/>
        </w:rPr>
        <w:t xml:space="preserve">in spite of the down regulation of corresponding mRNAs </w:t>
      </w:r>
      <w:r w:rsidR="00CA028F" w:rsidRPr="009F2305">
        <w:rPr>
          <w:highlight w:val="lightGray"/>
        </w:rPr>
        <w:fldChar w:fldCharType="begin"/>
      </w:r>
      <w:r w:rsidR="00CA028F" w:rsidRPr="009F2305">
        <w:rPr>
          <w:highlight w:val="lightGray"/>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CA028F" w:rsidRPr="009F2305">
        <w:rPr>
          <w:highlight w:val="lightGray"/>
        </w:rPr>
        <w:fldChar w:fldCharType="separate"/>
      </w:r>
      <w:r w:rsidR="00CA028F" w:rsidRPr="009F2305">
        <w:rPr>
          <w:highlight w:val="lightGray"/>
        </w:rPr>
        <w:t>(Houser et al. 2015)</w:t>
      </w:r>
      <w:r w:rsidR="00CA028F" w:rsidRPr="009F2305">
        <w:rPr>
          <w:highlight w:val="lightGray"/>
        </w:rPr>
        <w:fldChar w:fldCharType="end"/>
      </w:r>
      <w:r w:rsidR="00272744" w:rsidRPr="009F2305">
        <w:rPr>
          <w:highlight w:val="lightGray"/>
        </w:rPr>
        <w:t>.</w:t>
      </w:r>
    </w:p>
    <w:p w14:paraId="5F97D2F3" w14:textId="055A8D22" w:rsidR="001239B2" w:rsidRPr="00044BD7" w:rsidRDefault="001239B2" w:rsidP="005F56F1"/>
    <w:p w14:paraId="22F01129" w14:textId="77777777" w:rsidR="001239B2" w:rsidRPr="008A24EF" w:rsidRDefault="001239B2" w:rsidP="005F56F1">
      <w:pPr>
        <w:rPr>
          <w:color w:val="0000FF"/>
        </w:rPr>
      </w:pPr>
    </w:p>
    <w:p w14:paraId="66E62E0C" w14:textId="119F2E76"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F266F7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6D746350"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 xml:space="preserve">inconsistencies in </w:t>
      </w:r>
      <w:r w:rsidR="00F91445" w:rsidRPr="00964F22">
        <w:rPr>
          <w:color w:val="000000" w:themeColor="text1"/>
        </w:rPr>
        <w:lastRenderedPageBreak/>
        <w:t>biological replicates</w:t>
      </w:r>
      <w:r w:rsidRPr="00964F22">
        <w:t>,</w:t>
      </w:r>
      <w:r>
        <w:t xml:space="preserve"> so that our final data set consisted of </w:t>
      </w:r>
      <w:r w:rsidR="002A6E4A">
        <w:t xml:space="preserve">143 </w:t>
      </w:r>
      <w:r>
        <w:t xml:space="preserve">RNA samples and 101 </w:t>
      </w:r>
      <w:r w:rsidR="002A6E4A">
        <w:t xml:space="preserve">protein samples. </w:t>
      </w:r>
      <w:r>
        <w:t>(Lists of all RNA and protein samples are available as S</w:t>
      </w:r>
      <w:r w:rsidR="00F91445">
        <w:t>upplementary Table</w:t>
      </w:r>
      <w:r>
        <w:t xml:space="preserve"> 1.)</w:t>
      </w:r>
    </w:p>
    <w:p w14:paraId="43216E4D" w14:textId="70AEFF98" w:rsidR="002A6E4A" w:rsidRDefault="002A6E4A" w:rsidP="007B145B"/>
    <w:p w14:paraId="77ED53FB" w14:textId="681D69D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34ECA1D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7229C2">
        <w:rPr>
          <w:color w:val="0000FF"/>
        </w:rPr>
        <w:t>−</w:t>
      </w:r>
      <w:r w:rsidR="00554522">
        <w:t>1.96</w:t>
      </w:r>
      <w:r w:rsidRPr="00B67655">
        <w:t xml:space="preserve"> indicates that the mRNA or protein abundances are clustered significantly by the corresponding variable.</w:t>
      </w:r>
    </w:p>
    <w:p w14:paraId="560C654A" w14:textId="05E16D49"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lastRenderedPageBreak/>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7229C2">
        <w:rPr>
          <w:color w:val="0000FF"/>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7229C2">
        <w:rPr>
          <w:color w:val="0000FF"/>
        </w:rPr>
        <w:t>−</w:t>
      </w:r>
      <w:r w:rsidR="00526C9C">
        <w:rPr>
          <w:rFonts w:eastAsiaTheme="minorEastAsia" w:cstheme="minorBidi"/>
          <w:b w:val="0"/>
          <w:bCs w:val="0"/>
          <w:color w:val="auto"/>
        </w:rPr>
        <w:t xml:space="preserve">1.54 and </w:t>
      </w:r>
      <w:r w:rsidR="007229C2" w:rsidRPr="007229C2">
        <w:rPr>
          <w:color w:val="0000FF"/>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8C75B1">
        <w:rPr>
          <w:rFonts w:eastAsiaTheme="minorEastAsia" w:cstheme="minorBidi"/>
          <w:b w:val="0"/>
          <w:bCs w:val="0"/>
          <w:color w:val="auto"/>
        </w:rPr>
        <w:t xml:space="preserve">. </w:t>
      </w:r>
      <w:r w:rsidR="008C75B1" w:rsidRPr="00D51D05">
        <w:rPr>
          <w:rFonts w:eastAsiaTheme="minorEastAsia" w:cstheme="minorBidi"/>
          <w:b w:val="0"/>
          <w:bCs w:val="0"/>
          <w:color w:val="auto"/>
        </w:rPr>
        <w:t>All bacterial samples with the same batch number were started growing at the same time. (Ones with different batch numbers were grown on different days.) So, if there was an effect of incubator temperature slightly changing, media formulation, whatever other day-to-day variation, it would occur between batches but not within them. W</w:t>
      </w:r>
      <w:r w:rsidRPr="00D51D05">
        <w:rPr>
          <w:rFonts w:eastAsiaTheme="minorEastAsia" w:cstheme="minorBidi"/>
          <w:b w:val="0"/>
          <w:bCs w:val="0"/>
          <w:color w:val="auto"/>
        </w:rPr>
        <w:t>e</w:t>
      </w:r>
      <w:r w:rsidRPr="00D51D05">
        <w:rPr>
          <w:rFonts w:eastAsiaTheme="minorEastAsia" w:cstheme="minorBidi"/>
          <w:b w:val="0"/>
          <w:bCs w:val="0"/>
        </w:rPr>
        <w:t xml:space="preserve"> </w:t>
      </w:r>
      <w:r w:rsidRPr="00B67655">
        <w:rPr>
          <w:rFonts w:eastAsiaTheme="minorEastAsia" w:cstheme="minorBidi"/>
          <w:b w:val="0"/>
          <w:bCs w:val="0"/>
          <w:color w:val="auto"/>
        </w:rPr>
        <w:t xml:space="preserve">found that batch effects </w:t>
      </w:r>
      <w:r w:rsidR="0067765D">
        <w:rPr>
          <w:rFonts w:eastAsiaTheme="minorEastAsia" w:cstheme="minorBidi"/>
          <w:b w:val="0"/>
          <w:bCs w:val="0"/>
          <w:color w:val="auto"/>
        </w:rPr>
        <w:t xml:space="preserve">also significantly influenced </w:t>
      </w:r>
      <w:r w:rsidRPr="00B67655">
        <w:rPr>
          <w:rFonts w:eastAsiaTheme="minorEastAsia" w:cstheme="minorBidi"/>
          <w:b w:val="0"/>
          <w:bCs w:val="0"/>
          <w:color w:val="auto"/>
        </w:rPr>
        <w:t>mRNA abundances,</w:t>
      </w:r>
      <w:r w:rsidR="0067765D">
        <w:rPr>
          <w:rFonts w:eastAsiaTheme="minorEastAsia" w:cstheme="minorBidi"/>
          <w:b w:val="0"/>
          <w:bCs w:val="0"/>
          <w:color w:val="auto"/>
        </w:rPr>
        <w:t xml:space="preserve"> with</w:t>
      </w:r>
      <w:r w:rsidRPr="00B67655">
        <w:rPr>
          <w:rFonts w:eastAsiaTheme="minorEastAsia" w:cstheme="minorBidi"/>
          <w:b w:val="0"/>
          <w:bCs w:val="0"/>
          <w:color w:val="auto"/>
        </w:rPr>
        <w:t xml:space="preserve"> </w:t>
      </w:r>
      <w:r w:rsidRPr="0067765D">
        <w:rPr>
          <w:rFonts w:eastAsiaTheme="minorEastAsia" w:cstheme="minorBidi"/>
          <w:b w:val="0"/>
          <w:bCs w:val="0"/>
          <w:i/>
          <w:color w:val="auto"/>
        </w:rPr>
        <w:t>z</w:t>
      </w:r>
      <w:r w:rsidR="00944057">
        <w:rPr>
          <w:rFonts w:eastAsiaTheme="minorEastAsia" w:cstheme="minorBidi"/>
          <w:b w:val="0"/>
          <w:bCs w:val="0"/>
          <w:color w:val="auto"/>
        </w:rPr>
        <w:t xml:space="preserve"> = </w:t>
      </w:r>
      <w:r w:rsidR="007229C2" w:rsidRPr="007229C2">
        <w:rPr>
          <w:color w:val="0000FF"/>
        </w:rPr>
        <w:t>−</w:t>
      </w:r>
      <w:r w:rsidRPr="00B67655">
        <w:rPr>
          <w:rFonts w:eastAsiaTheme="minorEastAsia" w:cstheme="minorBidi"/>
          <w:b w:val="0"/>
          <w:bCs w:val="0"/>
          <w:color w:val="auto"/>
        </w:rPr>
        <w:t>2.82.</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7229C2">
        <w:rPr>
          <w:color w:val="0000FF"/>
        </w:rPr>
        <w:t>−</w:t>
      </w:r>
      <w:r w:rsidR="00944057">
        <w:rPr>
          <w:rFonts w:eastAsiaTheme="minorEastAsia" w:cstheme="minorBidi"/>
          <w:b w:val="0"/>
          <w:bCs w:val="0"/>
          <w:color w:val="auto"/>
        </w:rPr>
        <w:t xml:space="preserve">4.78, </w:t>
      </w:r>
      <w:r w:rsidR="007229C2" w:rsidRPr="007229C2">
        <w:rPr>
          <w:color w:val="0000FF"/>
        </w:rPr>
        <w:t>−</w:t>
      </w:r>
      <w:r w:rsidR="00944057">
        <w:rPr>
          <w:rFonts w:eastAsiaTheme="minorEastAsia" w:cstheme="minorBidi"/>
          <w:b w:val="0"/>
          <w:bCs w:val="0"/>
          <w:color w:val="auto"/>
        </w:rPr>
        <w:t xml:space="preserve">4.21, and </w:t>
      </w:r>
      <w:r w:rsidR="007229C2" w:rsidRPr="007229C2">
        <w:rPr>
          <w:color w:val="0000FF"/>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7229C2">
        <w:rPr>
          <w:color w:val="0000FF"/>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390A2DEF"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Pr>
          <w:rFonts w:eastAsiaTheme="minorEastAsia" w:cstheme="minorBidi"/>
          <w:b w:val="0"/>
          <w:bCs w:val="0"/>
          <w:color w:val="auto"/>
        </w:rPr>
        <w:t>, effects that weren’t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3BC80097"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 base level</w:t>
      </w:r>
      <w:r w:rsidR="00D51D05" w:rsidRPr="00964F22">
        <w:rPr>
          <w:color w:val="000000" w:themeColor="text1"/>
        </w:rPr>
        <w:t>, 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033329" w:rsidRPr="00964F22">
        <w:rPr>
          <w:color w:val="000000" w:themeColor="text1"/>
        </w:rPr>
        <w:t>,</w:t>
      </w:r>
      <w:r w:rsidR="006D1FF6" w:rsidRPr="00964F22">
        <w:rPr>
          <w:color w:val="000000" w:themeColor="text1"/>
        </w:rPr>
        <w:t xml:space="preserve"> </w:t>
      </w:r>
      <w:r w:rsidRPr="00964F22">
        <w:rPr>
          <w:color w:val="000000" w:themeColor="text1"/>
        </w:rPr>
        <w:t>and base level</w:t>
      </w:r>
      <w:r w:rsidR="00613136" w:rsidRPr="00964F22">
        <w:rPr>
          <w:color w:val="000000" w:themeColor="text1"/>
        </w:rPr>
        <w:t>, 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18C10566"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 for the carbon source glycerol.</w:t>
      </w:r>
    </w:p>
    <w:p w14:paraId="7F2B73D4" w14:textId="77777777" w:rsidR="002A151E" w:rsidRPr="009C6843" w:rsidRDefault="002A151E" w:rsidP="003A289C"/>
    <w:p w14:paraId="38430FCF" w14:textId="63465DE2" w:rsidR="006D1FF6" w:rsidRPr="009C6843" w:rsidRDefault="00360CF7" w:rsidP="003A289C">
      <w:r w:rsidRPr="009C6843">
        <w:t>For mRNA concentrations all investigated salt stresses mostly causes down regulation compared to the base levels with an exception of stationary phase high Mg concentrations.</w:t>
      </w:r>
      <w:r w:rsidR="002A151E" w:rsidRPr="009C6843">
        <w:t xml:space="preserve"> The effect of changing carbon sources</w:t>
      </w:r>
      <w:r w:rsidRPr="009C6843">
        <w:t xml:space="preserve"> </w:t>
      </w:r>
      <w:r w:rsidR="002A151E" w:rsidRPr="009C6843">
        <w:t xml:space="preserve">causes mostly down regulation in mRNA levels with an exception of stationary phase lactate experiments. If we focus on protein concentrations low or high Mg concentrations either cause no or few significant change. </w:t>
      </w:r>
      <w:r w:rsidR="004A3752" w:rsidRPr="009C6843">
        <w:t xml:space="preserve">On the other hand high Na causes lots of proteins to change their concentrations significantly both in exponential and </w:t>
      </w:r>
      <w:r w:rsidR="004A3752" w:rsidRPr="009C6843">
        <w:lastRenderedPageBreak/>
        <w:t>stationary phases. Glycerol causes mostly down regulation of proteins, gluconate causes no change in protein concentrations and lactate causes up regulation of some proteins.</w:t>
      </w:r>
    </w:p>
    <w:p w14:paraId="62E2E73F" w14:textId="77777777" w:rsidR="003A289C" w:rsidRPr="009C6843" w:rsidRDefault="003A289C" w:rsidP="003A289C"/>
    <w:p w14:paraId="180A6616" w14:textId="2714B144"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p>
    <w:p w14:paraId="555664F3" w14:textId="77777777" w:rsidR="009F4A72" w:rsidRPr="009C6843" w:rsidRDefault="009F4A72" w:rsidP="005E0DA3"/>
    <w:p w14:paraId="6E6B98A3" w14:textId="48E550C6" w:rsidR="009F4A72" w:rsidRPr="009C6843" w:rsidRDefault="009F4A72" w:rsidP="005E0DA3">
      <w:r w:rsidRPr="009C6843">
        <w:t>Most of significant differentially expressed mRNAs are related with Mg stress</w:t>
      </w:r>
      <w:r w:rsidR="00262505" w:rsidRPr="009C6843">
        <w:t xml:space="preserve"> (73% of all </w:t>
      </w:r>
      <w:r w:rsidR="00EE517F" w:rsidRPr="009C6843">
        <w:t xml:space="preserve">mRNAs) </w:t>
      </w:r>
      <w:r w:rsidR="00262505" w:rsidRPr="009C6843">
        <w:t>in exponential phase and 75% of all data in stationary phase)</w:t>
      </w:r>
      <w:r w:rsidRPr="009C6843">
        <w:t xml:space="preserve"> and for exponential phase a big portion of them are also differentially expressed with changing carbon sources</w:t>
      </w:r>
      <w:r w:rsidR="00EE517F" w:rsidRPr="009C6843">
        <w:t xml:space="preserve"> (30% of all mRNAs</w:t>
      </w:r>
      <w:r w:rsidR="00262505" w:rsidRPr="009C6843">
        <w:t>)</w:t>
      </w:r>
      <w:r w:rsidRPr="009C6843">
        <w:t>. Ratio of significantly expressed mRNAs associated with changing carbon sources are decreased in stationary phase compared to exponential phase</w:t>
      </w:r>
      <w:r w:rsidR="00262505" w:rsidRPr="009C6843">
        <w:t xml:space="preserve"> (50% of all data in exponential phase and 27% of all data in stationary phase)</w:t>
      </w:r>
      <w:r w:rsidRPr="009C6843">
        <w:t>. Ratio of significantly expressed mRNAs associated with changing Na increased in stationary phase compared to exponential phase</w:t>
      </w:r>
      <w:r w:rsidR="00262505" w:rsidRPr="009C6843">
        <w:t xml:space="preserve"> (12% of all data in exponential phase and 30% of all data in stationary phase)</w:t>
      </w:r>
      <w:r w:rsidRPr="009C6843">
        <w:t>. The dominant factor that affect</w:t>
      </w:r>
      <w:r w:rsidR="00262505" w:rsidRPr="009C6843">
        <w:t>s</w:t>
      </w:r>
      <w:r w:rsidRPr="009C6843">
        <w:t xml:space="preserve"> the protein concentrations is Na stress in both exponential and stationary phase</w:t>
      </w:r>
      <w:r w:rsidR="00262505" w:rsidRPr="009C6843">
        <w:t xml:space="preserve"> (85% of all data in exponential phase and </w:t>
      </w:r>
      <w:r w:rsidR="006E4EDD" w:rsidRPr="009C6843">
        <w:t>89% of all data in stationary phase</w:t>
      </w:r>
      <w:r w:rsidR="00262505" w:rsidRPr="009C6843">
        <w:t>), it is not only the biggest one but also shares its proteins with both carbon source Mg stress.</w:t>
      </w:r>
    </w:p>
    <w:p w14:paraId="688105D2" w14:textId="77777777" w:rsidR="006E4EDD" w:rsidRPr="008272F5" w:rsidRDefault="006E4EDD" w:rsidP="005E0DA3">
      <w:pPr>
        <w:rPr>
          <w:color w:val="0000FF"/>
        </w:rPr>
      </w:pPr>
    </w:p>
    <w:p w14:paraId="7F8BB649" w14:textId="61F880B7" w:rsidR="00810298" w:rsidRPr="00790C42" w:rsidRDefault="00667D70" w:rsidP="005E0DA3">
      <w:pPr>
        <w:rPr>
          <w:highlight w:val="lightGray"/>
        </w:rPr>
      </w:pPr>
      <w:r w:rsidRPr="00790C42">
        <w:t xml:space="preserve">To see the response of E.coli to different external conditions we look </w:t>
      </w:r>
      <w:r w:rsidR="00790C42">
        <w:t xml:space="preserve">at the </w:t>
      </w:r>
      <w:r w:rsidRPr="00790C42">
        <w:t>significantly altered biological pathways and molecular activities of gene products. We use Kyoto Encyclopedia of</w:t>
      </w:r>
      <w:r w:rsidR="006267EB" w:rsidRPr="00790C42">
        <w:t xml:space="preserve"> Genes and Genomes (KEGG) </w:t>
      </w:r>
      <w:r w:rsidR="006267EB" w:rsidRPr="00790C42">
        <w:fldChar w:fldCharType="begin"/>
      </w:r>
      <w:r w:rsidR="006267EB" w:rsidRPr="00790C42">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790C42">
        <w:fldChar w:fldCharType="separate"/>
      </w:r>
      <w:r w:rsidR="006267EB" w:rsidRPr="00790C42">
        <w:rPr>
          <w:noProof/>
        </w:rPr>
        <w:t>(Kanehisa and Goto 2000)</w:t>
      </w:r>
      <w:r w:rsidR="006267EB" w:rsidRPr="00790C42">
        <w:fldChar w:fldCharType="end"/>
      </w:r>
      <w:r w:rsidRPr="00790C42">
        <w:t xml:space="preserve"> for biological pathways and annotations from Gene Ontology (GO)</w:t>
      </w:r>
      <w:r w:rsidR="006267EB" w:rsidRPr="00790C42">
        <w:t xml:space="preserve"> </w:t>
      </w:r>
      <w:r w:rsidRPr="00790C42">
        <w:t>Consortiu</w:t>
      </w:r>
      <w:r w:rsidR="006267EB" w:rsidRPr="00790C42">
        <w:t xml:space="preserve">m for molecular functions </w:t>
      </w:r>
      <w:r w:rsidR="006267EB" w:rsidRPr="00790C42">
        <w:fldChar w:fldCharType="begin"/>
      </w:r>
      <w:r w:rsidR="006267EB" w:rsidRPr="00790C42">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790C42">
        <w:fldChar w:fldCharType="separate"/>
      </w:r>
      <w:r w:rsidR="006267EB" w:rsidRPr="00790C42">
        <w:rPr>
          <w:noProof/>
        </w:rPr>
        <w:t>(Ashburner et al. 2000)</w:t>
      </w:r>
      <w:r w:rsidR="006267EB" w:rsidRPr="00790C42">
        <w:fldChar w:fldCharType="end"/>
      </w:r>
      <w:r w:rsidRPr="00790C42">
        <w:t>. To find the significantly altered GO annotations and KEGG pathways we use DAVID</w:t>
      </w:r>
      <w:r w:rsidR="006267EB" w:rsidRPr="00790C42">
        <w:t xml:space="preserve"> </w:t>
      </w:r>
      <w:r w:rsidR="006267EB" w:rsidRPr="00790C42">
        <w:fldChar w:fldCharType="begin"/>
      </w:r>
      <w:r w:rsidR="006267EB" w:rsidRPr="00790C42">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267EB" w:rsidRPr="00790C42">
        <w:fldChar w:fldCharType="separate"/>
      </w:r>
      <w:r w:rsidR="006267EB" w:rsidRPr="00790C42">
        <w:rPr>
          <w:noProof/>
        </w:rPr>
        <w:t>(Huang, Sherman, and Lempicki 2008)</w:t>
      </w:r>
      <w:r w:rsidR="006267EB" w:rsidRPr="00790C42">
        <w:fldChar w:fldCharType="end"/>
      </w:r>
      <w:r w:rsidRPr="00790C42">
        <w:t xml:space="preserve"> web tools, and use </w:t>
      </w:r>
      <w:r w:rsidRPr="00790C42">
        <w:rPr>
          <w:i/>
        </w:rPr>
        <w:t>P' = 0.05</w:t>
      </w:r>
      <w:r w:rsidRPr="00790C42">
        <w:t xml:space="preserve"> to filter significantly altered molecular activities and biological pathways.</w:t>
      </w:r>
      <w:r w:rsidR="006267EB" w:rsidRPr="00790C42">
        <w:t xml:space="preserve"> </w:t>
      </w:r>
      <w:r w:rsidR="009E12B3" w:rsidRPr="00790C42">
        <w:t>Su</w:t>
      </w:r>
      <w:r w:rsidR="00FF43E9" w:rsidRPr="00790C42">
        <w:t>pplementary tables 6 and 7 show</w:t>
      </w:r>
      <w:r w:rsidR="009E12B3" w:rsidRPr="00790C42">
        <w:t xml:space="preserve"> </w:t>
      </w:r>
      <w:r w:rsidR="00FF43E9" w:rsidRPr="00790C42">
        <w:t xml:space="preserve">the </w:t>
      </w:r>
      <w:r w:rsidR="009E12B3" w:rsidRPr="00790C42">
        <w:t xml:space="preserve">top 5 significantly altered </w:t>
      </w:r>
      <w:r w:rsidR="006267EB" w:rsidRPr="00790C42">
        <w:t xml:space="preserve">biological pathways indicated by KEGG </w:t>
      </w:r>
      <w:r w:rsidR="009E12B3" w:rsidRPr="00790C42">
        <w:t xml:space="preserve">and molecular function </w:t>
      </w:r>
      <w:r w:rsidR="00FF43E9" w:rsidRPr="00790C42">
        <w:t>as indicated by</w:t>
      </w:r>
      <w:r w:rsidR="009E12B3" w:rsidRPr="00790C42">
        <w:t xml:space="preserve"> GO annotations under different conditions. We also individually display the changed pathways</w:t>
      </w:r>
      <w:r w:rsidR="007716D9" w:rsidRPr="00790C42">
        <w:t>/annotations and associated, significantly altered mRNAs and proteins</w:t>
      </w:r>
      <w:r w:rsidR="009E12B3" w:rsidRPr="00790C42">
        <w:t xml:space="preserve"> under supplementary figures</w:t>
      </w:r>
      <w:r w:rsidR="00FF43E9" w:rsidRPr="00790C42">
        <w:t xml:space="preserve"> </w:t>
      </w:r>
      <w:r w:rsidR="00810298" w:rsidRPr="00790C42">
        <w:t>1</w:t>
      </w:r>
      <w:r w:rsidR="00BE15CA" w:rsidRPr="00790C42">
        <w:t>–</w:t>
      </w:r>
      <w:r w:rsidR="00810298" w:rsidRPr="00790C42">
        <w:t>39</w:t>
      </w:r>
      <w:r w:rsidR="009E12B3" w:rsidRPr="00790C42">
        <w:t xml:space="preserve">. </w:t>
      </w:r>
      <w:r w:rsidR="00810298" w:rsidRPr="00790C42">
        <w:t>Significantly al</w:t>
      </w:r>
      <w:r w:rsidR="00790C42" w:rsidRPr="00790C42">
        <w:t>tered KEGG pathways with high Na</w:t>
      </w:r>
      <w:r w:rsidR="00790C42" w:rsidRPr="00790C42">
        <w:rPr>
          <w:vertAlign w:val="superscript"/>
        </w:rPr>
        <w:t>+1</w:t>
      </w:r>
      <w:r w:rsidR="00810298" w:rsidRPr="00790C42">
        <w:t xml:space="preserve"> and </w:t>
      </w:r>
      <w:r w:rsidR="00790C42" w:rsidRPr="00790C42">
        <w:t>high Mg</w:t>
      </w:r>
      <w:r w:rsidR="00790C42" w:rsidRPr="00790C42">
        <w:rPr>
          <w:vertAlign w:val="superscript"/>
        </w:rPr>
        <w:t>+2</w:t>
      </w:r>
      <w:r w:rsidR="00790C42" w:rsidRPr="00790C42">
        <w:t xml:space="preserve"> </w:t>
      </w:r>
      <w:r w:rsidR="00810298" w:rsidRPr="00790C42">
        <w:t>concentrations</w:t>
      </w:r>
      <w:r w:rsidR="00790C42" w:rsidRPr="00790C42">
        <w:t xml:space="preserve"> in exponential phase associated with mRNA concentrations are shown in figures 6 and 7. As one can see, almost all of the most altered pathways are significantly down regulated in both situations</w:t>
      </w:r>
    </w:p>
    <w:p w14:paraId="4ED76DF0" w14:textId="77777777" w:rsidR="009E12B3" w:rsidRPr="00790C42" w:rsidRDefault="009E12B3" w:rsidP="005E0DA3"/>
    <w:p w14:paraId="38C92860" w14:textId="56E31C24" w:rsidR="006E4EDD" w:rsidRPr="00790C42" w:rsidRDefault="009E12B3" w:rsidP="005E0DA3">
      <w:r w:rsidRPr="00790C42">
        <w:t>W</w:t>
      </w:r>
      <w:r w:rsidR="006E4EDD" w:rsidRPr="00790C42">
        <w:t xml:space="preserve">e </w:t>
      </w:r>
      <w:r w:rsidRPr="00790C42">
        <w:t xml:space="preserve">also </w:t>
      </w:r>
      <w:r w:rsidR="009D4F6B" w:rsidRPr="00790C42">
        <w:t xml:space="preserve">found, </w:t>
      </w:r>
      <w:r w:rsidR="00481646" w:rsidRPr="00790C42">
        <w:t xml:space="preserve">in </w:t>
      </w:r>
      <w:r w:rsidR="009D4F6B" w:rsidRPr="00790C42">
        <w:t xml:space="preserve">contrast to other salt stresses </w:t>
      </w:r>
      <w:r w:rsidR="00790C42">
        <w:t>we observed</w:t>
      </w:r>
      <w:r w:rsidR="009D4F6B" w:rsidRPr="00790C42">
        <w:t xml:space="preserve">, high Mg concentrations in stationary phase causes up regulation of many metabolism related pathways </w:t>
      </w:r>
      <w:r w:rsidR="008272F5" w:rsidRPr="00790C42">
        <w:t>(F</w:t>
      </w:r>
      <w:r w:rsidR="00EA61CF" w:rsidRPr="00790C42">
        <w:t xml:space="preserve">igure </w:t>
      </w:r>
      <w:r w:rsidR="009D4F6B" w:rsidRPr="00790C42">
        <w:t>8</w:t>
      </w:r>
      <w:r w:rsidR="00625119" w:rsidRPr="00790C42">
        <w:t xml:space="preserve">), </w:t>
      </w:r>
      <w:r w:rsidR="00794E3C" w:rsidRPr="00790C42">
        <w:t>which seems like an exception when considering other up and down regulation trends. (Figure 9)</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1FDB83C"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xml:space="preserve">, and growth into deep stationary phase, up to two weeks post inoculation. We have found that gene regulation changes the most with </w:t>
      </w:r>
      <w:r>
        <w:lastRenderedPageBreak/>
        <w:t xml:space="preserve">respect to growth phase; in general, the exponential phase under one condition is more similar to the exponential phase under another condition than to the stationary phase under the same condition. Further, we have found that the smallest number of differentially expressed genes for different carbon sources,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46AD465" w:rsidR="00BB570B" w:rsidRPr="00BB570B" w:rsidRDefault="008272F5" w:rsidP="00776B56">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w:t>
      </w:r>
      <w:r w:rsidR="00475604" w:rsidRPr="00475604">
        <w:rPr>
          <w:noProof/>
        </w:rPr>
        <w:t xml:space="preserve"> </w:t>
      </w:r>
      <w:r w:rsidR="00475604">
        <w:rPr>
          <w:noProof/>
        </w:rPr>
        <w:t>Schmidt et al. 2015</w:t>
      </w:r>
      <w:r w:rsidR="00435168">
        <w:rPr>
          <w:noProof/>
        </w:rPr>
        <w:t>)</w:t>
      </w:r>
      <w:r w:rsidR="00435168">
        <w:fldChar w:fldCharType="end"/>
      </w:r>
      <w:r w:rsidR="00435168">
        <w:t xml:space="preserve"> only focuses on protein levels and measures (&gt;2300) genes and deals with 22 unique conditions</w:t>
      </w:r>
      <w:r w:rsidR="00FD6FAD">
        <w:t xml:space="preserve">. That researchs focus os more on distribution of protein mass within clusters of orthologous groups under different stress conditions and they try to find how cells are allocated under different conditions in our study instead of COG allocations we more focused on KEGG pathways.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w:t>
      </w:r>
      <w:r w:rsidR="00FD6FAD">
        <w:t xml:space="preserve">They more focused on up and down regulated proteins under different ethanol stresses. They applied different stresses than our study they found some similar results like down regulation of genes associated with arginine biosynthesis and metallic ion binding. </w:t>
      </w:r>
      <w:r w:rsidR="00D04EB2">
        <w:t xml:space="preserve">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FD6FAD">
        <w:t xml:space="preserve"> and the focus of the study is the change in protein concentrations in evolved strains</w:t>
      </w:r>
      <w:r w:rsidR="00435168">
        <w:t>.</w:t>
      </w:r>
      <w:r>
        <w:t xml:space="preserve"> </w:t>
      </w:r>
      <w:r w:rsidR="00614298" w:rsidRPr="00475604">
        <w:t>In comparison, we considered 34</w:t>
      </w:r>
      <w:r w:rsidRPr="00475604">
        <w:t xml:space="preserve"> unique conditions, measur</w:t>
      </w:r>
      <w:r w:rsidR="009C7933" w:rsidRPr="00475604">
        <w:t>ed 143 mRNAs and 101</w:t>
      </w:r>
      <w:r w:rsidRPr="00475604">
        <w:t xml:space="preserve"> proteins.</w:t>
      </w:r>
    </w:p>
    <w:p w14:paraId="0764EB1B" w14:textId="77777777" w:rsidR="00BB570B" w:rsidRDefault="00BB570B" w:rsidP="00776B56"/>
    <w:p w14:paraId="6439721F" w14:textId="5789CBC0" w:rsidR="00752E78" w:rsidRPr="009C6843" w:rsidRDefault="00EA44BC" w:rsidP="00776B56">
      <w:r w:rsidRPr="009C6843">
        <w:t>We observe several differences between RNA and protein patterns</w:t>
      </w:r>
      <w:r w:rsidR="00850542" w:rsidRPr="009C6843">
        <w:t xml:space="preserve">. </w:t>
      </w:r>
      <w:r w:rsidR="00F052B6" w:rsidRPr="009C6843">
        <w:t>T</w:t>
      </w:r>
      <w:r w:rsidR="00D80A53" w:rsidRPr="009C6843">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rsidRPr="009C6843">
        <w:t>O</w:t>
      </w:r>
      <w:r w:rsidR="00752E78" w:rsidRPr="009C6843">
        <w:t xml:space="preserve">ne </w:t>
      </w:r>
      <w:r w:rsidR="00D8265E" w:rsidRPr="009C6843">
        <w:t>other</w:t>
      </w:r>
      <w:r w:rsidR="00752E78" w:rsidRPr="009C6843">
        <w:t xml:space="preserve"> the significant observations is the difference between response patterns for </w:t>
      </w:r>
      <w:r w:rsidR="00F51155" w:rsidRPr="009C6843">
        <w:t>m</w:t>
      </w:r>
      <w:r w:rsidR="00752E78" w:rsidRPr="009C6843">
        <w:t xml:space="preserve">RNA and proteins. We measured the clustering </w:t>
      </w:r>
      <w:r w:rsidR="00F549FD" w:rsidRPr="009C6843">
        <w:t xml:space="preserve">quality of data sets with respect to variables we investigate for both </w:t>
      </w:r>
      <w:r w:rsidR="00F51155" w:rsidRPr="009C6843">
        <w:t>m</w:t>
      </w:r>
      <w:r w:rsidR="00F549FD" w:rsidRPr="009C6843">
        <w:t xml:space="preserve">RNA and protein data. Resulted order of clustering is different for proteins and </w:t>
      </w:r>
      <w:r w:rsidR="00F51155" w:rsidRPr="009C6843">
        <w:t>m</w:t>
      </w:r>
      <w:r w:rsidR="00F549FD" w:rsidRPr="009C6843">
        <w:t xml:space="preserve">RNA. For </w:t>
      </w:r>
      <w:r w:rsidR="00F51155" w:rsidRPr="009C6843">
        <w:t>mRNA</w:t>
      </w:r>
      <w:r w:rsidR="00F549FD" w:rsidRPr="009C6843">
        <w:t xml:space="preserve">s the most significant response is to change in </w:t>
      </w:r>
      <w:r w:rsidR="00F51155" w:rsidRPr="009C6843">
        <w:t>growth time</w:t>
      </w:r>
      <w:r w:rsidR="008146CA" w:rsidRPr="009C6843">
        <w:t xml:space="preserve"> (</w:t>
      </w:r>
      <w:r w:rsidR="008146CA" w:rsidRPr="009C6843">
        <w:rPr>
          <w:i/>
        </w:rPr>
        <w:t>z</w:t>
      </w:r>
      <w:r w:rsidR="00472806" w:rsidRPr="009C6843">
        <w:t xml:space="preserve"> </w:t>
      </w:r>
      <w:r w:rsidR="008146CA" w:rsidRPr="009C6843">
        <w:t>=</w:t>
      </w:r>
      <w:r w:rsidR="00472806" w:rsidRPr="009C6843">
        <w:t xml:space="preserve"> </w:t>
      </w:r>
      <w:r w:rsidR="007229C2" w:rsidRPr="009C6843">
        <w:t>−</w:t>
      </w:r>
      <w:r w:rsidR="008146CA" w:rsidRPr="009C6843">
        <w:t>23.99)</w:t>
      </w:r>
      <w:r w:rsidR="00472806" w:rsidRPr="009C6843">
        <w:t xml:space="preserve"> on the other hand for protein</w:t>
      </w:r>
      <w:r w:rsidR="00F549FD" w:rsidRPr="009C6843">
        <w:t xml:space="preserve"> </w:t>
      </w:r>
      <w:r w:rsidR="008146CA" w:rsidRPr="009C6843">
        <w:t>the significantly responding variables from most significant to least significant are Na levels (</w:t>
      </w:r>
      <w:r w:rsidR="004C204F" w:rsidRPr="009C6843">
        <w:rPr>
          <w:i/>
        </w:rPr>
        <w:t>z</w:t>
      </w:r>
      <w:r w:rsidR="00472806" w:rsidRPr="009C6843">
        <w:t xml:space="preserve"> </w:t>
      </w:r>
      <w:r w:rsidR="004C204F" w:rsidRPr="009C6843">
        <w:t>=</w:t>
      </w:r>
      <w:r w:rsidR="00472806" w:rsidRPr="009C6843">
        <w:t xml:space="preserve"> </w:t>
      </w:r>
      <w:r w:rsidR="007229C2" w:rsidRPr="009C6843">
        <w:t>−</w:t>
      </w:r>
      <w:r w:rsidR="008146CA" w:rsidRPr="009C6843">
        <w:t>4.78), growth phase (</w:t>
      </w:r>
      <w:r w:rsidR="00472806" w:rsidRPr="009C6843">
        <w:rPr>
          <w:i/>
        </w:rPr>
        <w:t>z</w:t>
      </w:r>
      <w:r w:rsidR="00472806" w:rsidRPr="009C6843">
        <w:t xml:space="preserve"> = </w:t>
      </w:r>
      <w:r w:rsidR="007229C2" w:rsidRPr="009C6843">
        <w:t>−</w:t>
      </w:r>
      <w:r w:rsidR="008146CA" w:rsidRPr="009C6843">
        <w:t>4.21) and carbon source (</w:t>
      </w:r>
      <w:r w:rsidR="008146CA" w:rsidRPr="009C6843">
        <w:rPr>
          <w:i/>
        </w:rPr>
        <w:t>z</w:t>
      </w:r>
      <w:r w:rsidR="00472806" w:rsidRPr="009C6843">
        <w:t xml:space="preserve"> </w:t>
      </w:r>
      <w:r w:rsidR="008146CA" w:rsidRPr="009C6843">
        <w:t>=</w:t>
      </w:r>
      <w:r w:rsidR="00472806" w:rsidRPr="009C6843">
        <w:t xml:space="preserve"> </w:t>
      </w:r>
      <w:r w:rsidR="007229C2" w:rsidRPr="009C6843">
        <w:t>−</w:t>
      </w:r>
      <w:r w:rsidR="008146CA" w:rsidRPr="009C6843">
        <w:t>3.25)</w:t>
      </w:r>
      <w:r w:rsidR="00F549FD" w:rsidRPr="009C6843">
        <w:t xml:space="preserve">. So </w:t>
      </w:r>
      <w:r w:rsidR="00B002D1" w:rsidRPr="009C6843">
        <w:t>we can conclude that the effect</w:t>
      </w:r>
      <w:r w:rsidR="00F549FD" w:rsidRPr="009C6843">
        <w:t xml:space="preserve"> of time in </w:t>
      </w:r>
      <w:r w:rsidR="00F51155" w:rsidRPr="009C6843">
        <w:t>m</w:t>
      </w:r>
      <w:r w:rsidR="00F549FD" w:rsidRPr="009C6843">
        <w:t xml:space="preserve">RNA level does </w:t>
      </w:r>
      <w:r w:rsidR="004C204F" w:rsidRPr="009C6843">
        <w:t>projected</w:t>
      </w:r>
      <w:r w:rsidR="00F549FD" w:rsidRPr="009C6843">
        <w:t xml:space="preserve"> to protein level</w:t>
      </w:r>
      <w:r w:rsidR="004C204F" w:rsidRPr="009C6843">
        <w:t xml:space="preserve"> in a statistically significant way</w:t>
      </w:r>
      <w:r w:rsidR="00F549FD" w:rsidRPr="009C6843">
        <w:t xml:space="preserve">. On the other hand </w:t>
      </w:r>
      <w:r w:rsidR="00BE537C" w:rsidRPr="009C6843">
        <w:t xml:space="preserve">effects of </w:t>
      </w:r>
      <w:r w:rsidR="004C204F" w:rsidRPr="009C6843">
        <w:t xml:space="preserve">Na levels and carbon source, </w:t>
      </w:r>
      <w:r w:rsidR="00BE537C" w:rsidRPr="009C6843">
        <w:t xml:space="preserve">which is more distributed than random when we consider </w:t>
      </w:r>
      <w:r w:rsidR="004C204F" w:rsidRPr="009C6843">
        <w:t>mRNA data</w:t>
      </w:r>
      <w:r w:rsidR="00BE537C" w:rsidRPr="009C6843">
        <w:t xml:space="preserve">, </w:t>
      </w:r>
      <w:r w:rsidR="004C204F" w:rsidRPr="009C6843">
        <w:t xml:space="preserve">seems to amplify </w:t>
      </w:r>
      <w:r w:rsidR="00BE537C" w:rsidRPr="009C6843">
        <w:t xml:space="preserve">in </w:t>
      </w:r>
      <w:r w:rsidR="004C204F" w:rsidRPr="009C6843">
        <w:t>protein</w:t>
      </w:r>
      <w:r w:rsidR="00BE537C" w:rsidRPr="009C6843">
        <w:t xml:space="preserve"> data. This might indicate other sources of regulation on proteins</w:t>
      </w:r>
      <w:r w:rsidR="00397900" w:rsidRPr="009C6843">
        <w:t xml:space="preserve"> depending on the </w:t>
      </w:r>
      <w:r w:rsidR="004C204F" w:rsidRPr="009C6843">
        <w:t xml:space="preserve">Na levels and </w:t>
      </w:r>
      <w:r w:rsidR="00397900" w:rsidRPr="009C6843">
        <w:t>carbon source</w:t>
      </w:r>
      <w:r w:rsidR="00BE537C" w:rsidRPr="009C6843">
        <w:t>.</w:t>
      </w:r>
    </w:p>
    <w:p w14:paraId="0ADBEBA7" w14:textId="70947C42" w:rsidR="00752E78" w:rsidRPr="009C6843" w:rsidRDefault="00196B75" w:rsidP="00196B75">
      <w:pPr>
        <w:tabs>
          <w:tab w:val="left" w:pos="2709"/>
        </w:tabs>
      </w:pPr>
      <w:r w:rsidRPr="009C6843">
        <w:tab/>
      </w:r>
    </w:p>
    <w:p w14:paraId="6A0EE8CB" w14:textId="79E5B6AF" w:rsidR="000331F9" w:rsidRPr="009C6843" w:rsidRDefault="009B0A33" w:rsidP="00776B56">
      <w:r w:rsidRPr="009C6843">
        <w:t xml:space="preserve">Another difference between RNA and protein responses is related with the distribution of number of significantly responding genes and proteins. Number of significantly responding elements </w:t>
      </w:r>
      <w:r w:rsidR="000331F9" w:rsidRPr="009C6843">
        <w:t>related with Mg</w:t>
      </w:r>
      <w:r w:rsidR="00780E8E" w:rsidRPr="009C6843">
        <w:rPr>
          <w:vertAlign w:val="superscript"/>
        </w:rPr>
        <w:t>+2</w:t>
      </w:r>
      <w:r w:rsidR="000331F9" w:rsidRPr="009C6843">
        <w:t xml:space="preserve"> stresses decrease from mRNA to proteins on the other hand significantly responding elements related with Na</w:t>
      </w:r>
      <w:r w:rsidR="00780E8E" w:rsidRPr="009C6843">
        <w:rPr>
          <w:vertAlign w:val="superscript"/>
        </w:rPr>
        <w:t>+1</w:t>
      </w:r>
      <w:r w:rsidR="000331F9" w:rsidRPr="009C6843">
        <w:t xml:space="preserve"> stresses increases from mRNA to proteins. When it comes to carbon sources the patterns look more similar between mRNAs and proteins.</w:t>
      </w:r>
    </w:p>
    <w:p w14:paraId="06E3B0CA" w14:textId="23DD3899" w:rsidR="009B0A33" w:rsidRPr="009C6843" w:rsidRDefault="009B0A33" w:rsidP="00776B56">
      <w:r w:rsidRPr="009C6843">
        <w:lastRenderedPageBreak/>
        <w:t xml:space="preserve">So most of the significantly varying RNA abundances </w:t>
      </w:r>
      <w:r w:rsidR="000331F9" w:rsidRPr="009C6843">
        <w:t>associated with salt stresses</w:t>
      </w:r>
      <w:r w:rsidR="00472806" w:rsidRPr="009C6843">
        <w:t xml:space="preserve"> </w:t>
      </w:r>
      <w:r w:rsidR="001E6E35" w:rsidRPr="009C6843">
        <w:t>do</w:t>
      </w:r>
      <w:r w:rsidRPr="009C6843">
        <w:t xml:space="preserve"> not cause significantly varying protein levels. </w:t>
      </w:r>
      <w:r w:rsidR="001E6E35" w:rsidRPr="009C6843">
        <w:t>For</w:t>
      </w:r>
      <w:r w:rsidR="00D76036" w:rsidRPr="009C6843">
        <w:t xml:space="preserve"> Mg</w:t>
      </w:r>
      <w:r w:rsidR="00D76036" w:rsidRPr="009C6843">
        <w:rPr>
          <w:vertAlign w:val="superscript"/>
        </w:rPr>
        <w:t>+2</w:t>
      </w:r>
      <w:r w:rsidR="00D76036" w:rsidRPr="009C6843">
        <w:t xml:space="preserve"> </w:t>
      </w:r>
      <w:r w:rsidR="000331F9" w:rsidRPr="009C6843">
        <w:t xml:space="preserve">and Na </w:t>
      </w:r>
      <w:r w:rsidR="001E6E35" w:rsidRPr="009C6843">
        <w:t>responses this differences might be related with cells response time.</w:t>
      </w:r>
    </w:p>
    <w:p w14:paraId="2C4EE8F4" w14:textId="77777777" w:rsidR="00B2041C" w:rsidRDefault="00B2041C" w:rsidP="00776B56">
      <w:pPr>
        <w:rPr>
          <w:color w:val="0000FF"/>
        </w:rPr>
      </w:pPr>
    </w:p>
    <w:p w14:paraId="6A4B93C2" w14:textId="4FC4A3D1" w:rsidR="00B2041C" w:rsidRDefault="00B2041C" w:rsidP="00776B56">
      <w:r w:rsidRPr="001D5AC3">
        <w:rPr>
          <w:highlight w:val="lightGray"/>
        </w:rPr>
        <w:t xml:space="preserve">When we discuss the individual effects of stresses we can observe for most of the stresses most of the genes are down regulated </w:t>
      </w:r>
      <w:r w:rsidR="00F3535E" w:rsidRPr="001D5AC3">
        <w:rPr>
          <w:highlight w:val="lightGray"/>
        </w:rPr>
        <w:t>and some are up regulated. S</w:t>
      </w:r>
      <w:r w:rsidRPr="001D5AC3">
        <w:rPr>
          <w:highlight w:val="lightGray"/>
        </w:rPr>
        <w:t xml:space="preserve">ome of </w:t>
      </w:r>
      <w:r w:rsidR="00F3535E" w:rsidRPr="001D5AC3">
        <w:rPr>
          <w:highlight w:val="lightGray"/>
        </w:rPr>
        <w:t>the up regulated genes</w:t>
      </w:r>
      <w:r w:rsidRPr="001D5AC3">
        <w:rPr>
          <w:highlight w:val="lightGray"/>
        </w:rPr>
        <w:t xml:space="preserve"> are consisted with the previous literature for example </w:t>
      </w:r>
      <w:r w:rsidRPr="001D5AC3">
        <w:rPr>
          <w:highlight w:val="lightGray"/>
        </w:rPr>
        <w:fldChar w:fldCharType="begin"/>
      </w:r>
      <w:r w:rsidRPr="001D5AC3">
        <w:rPr>
          <w:highlight w:val="lightGray"/>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Pr="001D5AC3">
        <w:rPr>
          <w:highlight w:val="lightGray"/>
        </w:rPr>
        <w:fldChar w:fldCharType="separate"/>
      </w:r>
      <w:r w:rsidRPr="001D5AC3">
        <w:rPr>
          <w:rFonts w:ascii="Calibri"/>
          <w:highlight w:val="lightGray"/>
        </w:rPr>
        <w:t>(Weber, Kögl, and Jung 2006)</w:t>
      </w:r>
      <w:r w:rsidRPr="001D5AC3">
        <w:rPr>
          <w:highlight w:val="lightGray"/>
        </w:rPr>
        <w:fldChar w:fldCharType="end"/>
      </w:r>
      <w:r w:rsidR="00F3535E" w:rsidRPr="001D5AC3">
        <w:rPr>
          <w:highlight w:val="lightGray"/>
        </w:rPr>
        <w:t xml:space="preserve"> found up regulation of tktB and talA under NaCl stress which is consistent with our results</w:t>
      </w:r>
      <w:r w:rsidRPr="001D5AC3">
        <w:rPr>
          <w:highlight w:val="lightGray"/>
        </w:rPr>
        <w:t>. Changes in salt concentrations in this study also caused many changes in ABC transporter expression.  In particular, low Mg</w:t>
      </w:r>
      <w:r w:rsidR="00481646" w:rsidRPr="00481646">
        <w:rPr>
          <w:highlight w:val="lightGray"/>
          <w:vertAlign w:val="superscript"/>
        </w:rPr>
        <w:t>+</w:t>
      </w:r>
      <w:r w:rsidRPr="00481646">
        <w:rPr>
          <w:highlight w:val="lightGray"/>
          <w:vertAlign w:val="superscript"/>
        </w:rPr>
        <w:t>2</w:t>
      </w:r>
      <w:r w:rsidRPr="001D5AC3">
        <w:rPr>
          <w:highlight w:val="lightGray"/>
        </w:rPr>
        <w:t xml:space="preserve"> concentrations cause a decrease in the fec operon, involved in iron transport.  This may be because, at low magnesium concentrations, magnesium transporters are permeab</w:t>
      </w:r>
      <w:r w:rsidR="002A1375">
        <w:rPr>
          <w:highlight w:val="lightGray"/>
        </w:rPr>
        <w:t>le to ferrous iron</w:t>
      </w:r>
      <w:r w:rsidR="009C6843">
        <w:rPr>
          <w:highlight w:val="lightGray"/>
        </w:rPr>
        <w:t xml:space="preserve"> </w:t>
      </w:r>
      <w:r w:rsidR="002A1375">
        <w:rPr>
          <w:highlight w:val="lightGray"/>
        </w:rPr>
        <w:fldChar w:fldCharType="begin"/>
      </w:r>
      <w:r w:rsidR="002A1375">
        <w:rPr>
          <w:highlight w:val="lightGray"/>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Pr>
          <w:highlight w:val="lightGray"/>
        </w:rPr>
        <w:fldChar w:fldCharType="separate"/>
      </w:r>
      <w:r w:rsidR="002A1375">
        <w:rPr>
          <w:noProof/>
          <w:highlight w:val="lightGray"/>
        </w:rPr>
        <w:t>(Hantke 1997)</w:t>
      </w:r>
      <w:r w:rsidR="002A1375">
        <w:rPr>
          <w:highlight w:val="lightGray"/>
        </w:rPr>
        <w:fldChar w:fldCharType="end"/>
      </w:r>
      <w:r w:rsidRPr="001D5AC3">
        <w:rPr>
          <w:highlight w:val="lightGray"/>
        </w:rPr>
        <w:t xml:space="preserve"> and a down</w:t>
      </w:r>
      <w:r w:rsidR="001D5AC3" w:rsidRPr="001D5AC3">
        <w:rPr>
          <w:highlight w:val="lightGray"/>
        </w:rPr>
        <w:t xml:space="preserve"> </w:t>
      </w:r>
      <w:r w:rsidRPr="001D5AC3">
        <w:rPr>
          <w:highlight w:val="lightGray"/>
        </w:rPr>
        <w:t>regulation of iron transporters is needed to compensate.  The fact that many ABC transporters are affected by salt concentrations may be indicative of other transporters that are leaky to off-target ions which have not yet been characterized.</w:t>
      </w:r>
    </w:p>
    <w:p w14:paraId="33C3AF88" w14:textId="77777777" w:rsidR="00481646" w:rsidRDefault="00481646" w:rsidP="00776B56"/>
    <w:p w14:paraId="7531D25D" w14:textId="783F7BD1" w:rsidR="00481646" w:rsidRPr="00481646" w:rsidRDefault="00CA028F" w:rsidP="00776B56">
      <w:r>
        <w:t>We also observed a</w:t>
      </w:r>
      <w:r w:rsidR="00481646" w:rsidRPr="00481646">
        <w:t xml:space="preserve">ltering the carbon source, provided predictable changes in gene expression.  For instance, providing glycerol as the sole carbon source instead of glucose increases expression of the glp operon, which is involved in glycerol uptake </w:t>
      </w:r>
      <w:r w:rsidR="002A1375">
        <w:fldChar w:fldCharType="begin"/>
      </w:r>
      <w:r w:rsidR="002A1375">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fldChar w:fldCharType="separate"/>
      </w:r>
      <w:r w:rsidR="002A1375">
        <w:rPr>
          <w:noProof/>
        </w:rPr>
        <w:t>(Weissenborn, Wittekindt, and Larson 1992)</w:t>
      </w:r>
      <w:r w:rsidR="002A1375">
        <w:fldChar w:fldCharType="end"/>
      </w:r>
      <w:r w:rsidR="00481646" w:rsidRPr="00481646">
        <w:t xml:space="preserve">.  Gluconate as a carbon source increases expression of the gtn and idn operons, both involved in gluconate metabolism </w:t>
      </w:r>
      <w:r w:rsidR="007E2476">
        <w:fldChar w:fldCharType="begin"/>
      </w:r>
      <w:r w:rsidR="007E2476">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fldChar w:fldCharType="separate"/>
      </w:r>
      <w:r w:rsidR="007E2476">
        <w:rPr>
          <w:noProof/>
        </w:rPr>
        <w:t>(Fujita et al. 1986; Bausch et al. 1998)</w:t>
      </w:r>
      <w:r w:rsidR="007E2476">
        <w:fldChar w:fldCharType="end"/>
      </w:r>
      <w:r w:rsidR="00481646" w:rsidRPr="00481646">
        <w:t xml:space="preserve">.  In both the experiments changing the carbon source and in those changing salt concentrations a number of genes involved in amino acid and nucleotide biosynthesis, as well as genes encoding ribosomal proteins, have significant changes in expression.  This may reflect the overall metabolic activity of the </w:t>
      </w:r>
      <w:r w:rsidR="00481646" w:rsidRPr="00481646">
        <w:rPr>
          <w:i/>
        </w:rPr>
        <w:t>E.coli</w:t>
      </w:r>
      <w:r w:rsidR="00481646" w:rsidRPr="00481646">
        <w:t>, and how they respond in general to more or less challenging conditions, rather than any specific induction caused by experimental conditions.</w:t>
      </w:r>
    </w:p>
    <w:p w14:paraId="13D533C3" w14:textId="77777777" w:rsidR="00325A61" w:rsidRDefault="00325A61" w:rsidP="00325A61">
      <w:pPr>
        <w:tabs>
          <w:tab w:val="left" w:pos="2709"/>
        </w:tabs>
        <w:rPr>
          <w:color w:val="0000FF"/>
        </w:rPr>
      </w:pPr>
    </w:p>
    <w:p w14:paraId="42ECDC88" w14:textId="11CB5850" w:rsidR="00325A61" w:rsidRPr="008663A4" w:rsidRDefault="008663A4" w:rsidP="00776B56">
      <w:pPr>
        <w:tabs>
          <w:tab w:val="left" w:pos="3637"/>
        </w:tabs>
        <w:rPr>
          <w:color w:val="FF0000"/>
        </w:rPr>
      </w:pPr>
      <w:r>
        <w:rPr>
          <w:color w:val="FF0000"/>
        </w:rPr>
        <w:t xml:space="preserve">In 2015 </w:t>
      </w:r>
      <w:r w:rsidR="00C93C2F">
        <w:rPr>
          <w:color w:val="FF0000"/>
        </w:rPr>
        <w:fldChar w:fldCharType="begin"/>
      </w:r>
      <w:r w:rsidR="00C93C2F">
        <w:rPr>
          <w:color w:val="FF0000"/>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C93C2F">
        <w:rPr>
          <w:color w:val="FF0000"/>
        </w:rPr>
        <w:fldChar w:fldCharType="separate"/>
      </w:r>
      <w:r w:rsidR="00C93C2F">
        <w:rPr>
          <w:noProof/>
          <w:color w:val="FF0000"/>
        </w:rPr>
        <w:t>(Houser et al. 2015)</w:t>
      </w:r>
      <w:r w:rsidR="00C93C2F">
        <w:rPr>
          <w:color w:val="FF0000"/>
        </w:rPr>
        <w:fldChar w:fldCharType="end"/>
      </w:r>
      <w:r w:rsidR="00C93C2F">
        <w:rPr>
          <w:color w:val="FF0000"/>
        </w:rPr>
        <w:t xml:space="preserve"> </w:t>
      </w:r>
      <w:r>
        <w:rPr>
          <w:color w:val="FF0000"/>
        </w:rPr>
        <w:t xml:space="preserve">study founds </w:t>
      </w:r>
      <w:r w:rsidR="00C93C2F">
        <w:rPr>
          <w:color w:val="FF0000"/>
        </w:rPr>
        <w:t xml:space="preserve">an up regulation of stress related proteins and down regulation of energy intensive processes, with our extended data set we also found down regulation of metabolism related processes almost in all stress conditions and in all growth phases. </w:t>
      </w:r>
      <w:r w:rsidR="00A6256D">
        <w:rPr>
          <w:color w:val="FF0000"/>
        </w:rPr>
        <w:t xml:space="preserve">Some </w:t>
      </w:r>
      <w:r w:rsidR="009F2305">
        <w:rPr>
          <w:color w:val="FF0000"/>
        </w:rPr>
        <w:t>similar down-</w:t>
      </w:r>
      <w:r w:rsidR="00A6256D">
        <w:rPr>
          <w:color w:val="FF0000"/>
        </w:rPr>
        <w:t>regul</w:t>
      </w:r>
      <w:r w:rsidR="009F2305">
        <w:rPr>
          <w:color w:val="FF0000"/>
        </w:rPr>
        <w:t>ated pathways under stresses other than glucose starvation</w:t>
      </w:r>
      <w:bookmarkStart w:id="1" w:name="_GoBack"/>
      <w:bookmarkEnd w:id="1"/>
      <w:r w:rsidR="009F2305">
        <w:rPr>
          <w:color w:val="FF0000"/>
        </w:rPr>
        <w:t xml:space="preserve"> </w:t>
      </w:r>
      <w:r w:rsidR="00A6256D">
        <w:rPr>
          <w:color w:val="FF0000"/>
        </w:rPr>
        <w:t>are translation, flagellar assembly, nucleotide related pathways such as RNA degredation</w:t>
      </w:r>
      <w:r w:rsidR="009F2305">
        <w:rPr>
          <w:color w:val="FF0000"/>
        </w:rPr>
        <w:t>,</w:t>
      </w:r>
      <w:r w:rsidR="00A6256D">
        <w:rPr>
          <w:color w:val="FF0000"/>
        </w:rPr>
        <w:t xml:space="preserve"> aminoacyl –tRNA biosynthesis. </w:t>
      </w:r>
      <w:r w:rsidR="00C93C2F">
        <w:rPr>
          <w:color w:val="FF0000"/>
        </w:rPr>
        <w:t>Similar stress related down regulation of pathways</w:t>
      </w:r>
      <w:r w:rsidR="00A6256D">
        <w:rPr>
          <w:color w:val="FF0000"/>
        </w:rPr>
        <w:t xml:space="preserve"> associated with energy intensive processes were</w:t>
      </w:r>
      <w:r w:rsidR="00C93C2F">
        <w:rPr>
          <w:color w:val="FF0000"/>
        </w:rPr>
        <w:t xml:space="preserve"> also reported in several previous studies. </w:t>
      </w:r>
      <w:r w:rsidR="00A6256D">
        <w:rPr>
          <w:color w:val="FF0000"/>
        </w:rPr>
        <w:fldChar w:fldCharType="begin"/>
      </w:r>
      <w:r w:rsidR="00A6256D">
        <w:rPr>
          <w:color w:val="FF0000"/>
        </w:rPr>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A6256D">
        <w:rPr>
          <w:color w:val="FF0000"/>
        </w:rPr>
        <w:fldChar w:fldCharType="separate"/>
      </w:r>
      <w:r w:rsidR="00A6256D">
        <w:rPr>
          <w:noProof/>
          <w:color w:val="FF0000"/>
        </w:rPr>
        <w:t>(Yoon et al. 2003; Gadgil, Kapur, and Hu 2005)</w:t>
      </w:r>
      <w:r w:rsidR="00A6256D">
        <w:rPr>
          <w:color w:val="FF0000"/>
        </w:rPr>
        <w:fldChar w:fldCharType="end"/>
      </w:r>
    </w:p>
    <w:p w14:paraId="65FC4382" w14:textId="77777777" w:rsidR="008663A4" w:rsidRPr="006368CC" w:rsidRDefault="008663A4" w:rsidP="00776B56">
      <w:pPr>
        <w:tabs>
          <w:tab w:val="left" w:pos="3637"/>
        </w:tabs>
        <w:rPr>
          <w:color w:val="0000FF"/>
        </w:rPr>
      </w:pPr>
    </w:p>
    <w:p w14:paraId="08E04A68" w14:textId="390418EF" w:rsidR="00397891" w:rsidRPr="009C6843" w:rsidRDefault="00397891" w:rsidP="00776B56">
      <w:pPr>
        <w:tabs>
          <w:tab w:val="left" w:pos="3637"/>
        </w:tabs>
      </w:pPr>
      <w:r w:rsidRPr="009C6843">
        <w:t>There are some issues related with data we collected. One of the biggest problem</w:t>
      </w:r>
      <w:r w:rsidR="00113A20" w:rsidRPr="009C6843">
        <w:t xml:space="preserve">s is the difference between the number of data samples </w:t>
      </w:r>
      <w:r w:rsidRPr="009C6843">
        <w:t>for different var</w:t>
      </w:r>
      <w:r w:rsidR="00113A20" w:rsidRPr="009C6843">
        <w:t xml:space="preserve">iables for both RNA and protein data. These differences might cause some biases in </w:t>
      </w:r>
      <w:r w:rsidR="00113A20" w:rsidRPr="009C6843">
        <w:rPr>
          <w:i/>
        </w:rPr>
        <w:t>z</w:t>
      </w:r>
      <w:r w:rsidR="00113A20" w:rsidRPr="009C6843">
        <w:t>-score</w:t>
      </w:r>
      <w:r w:rsidR="00113A20" w:rsidRPr="009C6843">
        <w:rPr>
          <w:i/>
        </w:rPr>
        <w:t xml:space="preserve"> </w:t>
      </w:r>
      <w:r w:rsidR="00113A20" w:rsidRPr="009C6843">
        <w:t xml:space="preserve">and </w:t>
      </w:r>
      <w:r w:rsidR="00113A20" w:rsidRPr="009C6843">
        <w:rPr>
          <w:i/>
        </w:rPr>
        <w:t>P</w:t>
      </w:r>
      <w:r w:rsidR="00113A20" w:rsidRPr="009C6843">
        <w:t xml:space="preserve"> </w:t>
      </w:r>
      <w:r w:rsidR="00F01109" w:rsidRPr="009C6843">
        <w:t>calculations.</w:t>
      </w:r>
    </w:p>
    <w:p w14:paraId="3B013968" w14:textId="77777777" w:rsidR="00F01109" w:rsidRPr="009C6843" w:rsidRDefault="00F01109" w:rsidP="00776B56">
      <w:pPr>
        <w:tabs>
          <w:tab w:val="left" w:pos="3637"/>
        </w:tabs>
      </w:pPr>
    </w:p>
    <w:p w14:paraId="6D3D4D9B" w14:textId="5F06B5D0" w:rsidR="00F01109" w:rsidRPr="009C6843" w:rsidRDefault="00F01109" w:rsidP="00776B56">
      <w:pPr>
        <w:tabs>
          <w:tab w:val="left" w:pos="3637"/>
        </w:tabs>
      </w:pPr>
      <w:r w:rsidRPr="009C6843">
        <w:t xml:space="preserve">Another problem is related with the number of different values used for spanning variable intervals. For carbon sources the change is binary it is either the carbon source we </w:t>
      </w:r>
      <w:r w:rsidR="005D74F7" w:rsidRPr="009C6843">
        <w:t>are focusing or not</w:t>
      </w:r>
      <w:r w:rsidRPr="009C6843">
        <w:t>.</w:t>
      </w:r>
      <w:r w:rsidR="005D74F7" w:rsidRPr="009C6843">
        <w:t xml:space="preserve"> For Na</w:t>
      </w:r>
      <w:r w:rsidR="00166861" w:rsidRPr="009C6843">
        <w:rPr>
          <w:vertAlign w:val="superscript"/>
        </w:rPr>
        <w:t>+1</w:t>
      </w:r>
      <w:r w:rsidR="005D74F7" w:rsidRPr="009C6843">
        <w:t xml:space="preserve"> concentrations we have four different values and for</w:t>
      </w:r>
      <w:r w:rsidR="00D76036" w:rsidRPr="009C6843">
        <w:t xml:space="preserve"> Mg</w:t>
      </w:r>
      <w:r w:rsidR="00D76036" w:rsidRPr="009C6843">
        <w:rPr>
          <w:vertAlign w:val="superscript"/>
        </w:rPr>
        <w:t>+2</w:t>
      </w:r>
      <w:r w:rsidR="00D76036" w:rsidRPr="009C6843">
        <w:t xml:space="preserve"> </w:t>
      </w:r>
      <w:r w:rsidR="005D74F7" w:rsidRPr="009C6843">
        <w:t xml:space="preserve">concentrations we have 10 different values. These differences might cause some biases in </w:t>
      </w:r>
      <w:r w:rsidR="005D74F7" w:rsidRPr="009C6843">
        <w:rPr>
          <w:i/>
        </w:rPr>
        <w:t>p value</w:t>
      </w:r>
      <w:r w:rsidR="005D74F7" w:rsidRPr="009C6843">
        <w:t xml:space="preserve"> calculations of spearman correlations used for measuring the significance of responses with respect to proteins or RNAs</w:t>
      </w:r>
    </w:p>
    <w:p w14:paraId="1912EA1E" w14:textId="77777777" w:rsidR="00C90590" w:rsidRPr="009C6843" w:rsidRDefault="00C90590" w:rsidP="00776B56">
      <w:pPr>
        <w:tabs>
          <w:tab w:val="left" w:pos="3637"/>
        </w:tabs>
      </w:pPr>
    </w:p>
    <w:p w14:paraId="05AC3D38" w14:textId="6D8490B6" w:rsidR="00C90590" w:rsidRPr="009C6843" w:rsidRDefault="00C90590" w:rsidP="00C90590">
      <w:pPr>
        <w:tabs>
          <w:tab w:val="left" w:pos="3637"/>
        </w:tabs>
      </w:pPr>
      <w:r w:rsidRPr="009C6843">
        <w:t xml:space="preserve">A third problem is the batch effects; the experiments were done in a large time intervals and in different laboratories if there are some affects that are related with these uncontrolled </w:t>
      </w:r>
      <w:r w:rsidRPr="009C6843">
        <w:lastRenderedPageBreak/>
        <w:t xml:space="preserve">variables it is hard to fix them since batches also correlated with experiments. The batch effect for </w:t>
      </w:r>
      <w:r w:rsidR="00AF37CE" w:rsidRPr="009C6843">
        <w:t xml:space="preserve">mRNA and proteins are both significant with z scores of </w:t>
      </w:r>
      <w:r w:rsidR="0027166C" w:rsidRPr="009C6843">
        <w:t>−</w:t>
      </w:r>
      <w:r w:rsidR="003B6152" w:rsidRPr="009C6843">
        <w:t xml:space="preserve">2.82 and </w:t>
      </w:r>
      <w:r w:rsidR="0027166C" w:rsidRPr="009C6843">
        <w:t>−</w:t>
      </w:r>
      <w:r w:rsidR="003B6152" w:rsidRPr="009C6843">
        <w:t>23.39 respectively.</w:t>
      </w:r>
      <w:r w:rsidR="00EB18D9" w:rsidRPr="009C6843">
        <w:t xml:space="preserve"> There are plenty of methods pre or post computational discussed associated w</w:t>
      </w:r>
      <w:r w:rsidR="009E12B3" w:rsidRPr="009C6843">
        <w:t>ith reducing the batch effects</w:t>
      </w:r>
      <w:r w:rsidR="00EB18D9" w:rsidRPr="009C6843">
        <w:t xml:space="preserve">. One of the recent studies discuss multiple methods related with removing batch effects </w:t>
      </w:r>
      <w:r w:rsidR="009E12B3" w:rsidRPr="009C6843">
        <w:fldChar w:fldCharType="begin"/>
      </w:r>
      <w:r w:rsidR="009E12B3" w:rsidRPr="009C6843">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9C6843">
        <w:fldChar w:fldCharType="separate"/>
      </w:r>
      <w:r w:rsidR="009E12B3" w:rsidRPr="009C6843">
        <w:rPr>
          <w:noProof/>
        </w:rPr>
        <w:t>(Kim, Zorraquino, and Tagkopoulos 2015)</w:t>
      </w:r>
      <w:r w:rsidR="009E12B3" w:rsidRPr="009C6843">
        <w:fldChar w:fldCharType="end"/>
      </w:r>
      <w:r w:rsidR="009E12B3" w:rsidRPr="009C6843">
        <w:t>, where they generate an iterative machine learning algorithm to cope with batch effects.</w:t>
      </w:r>
    </w:p>
    <w:p w14:paraId="6E342B66" w14:textId="77777777" w:rsidR="00776B56" w:rsidRPr="006368CC" w:rsidRDefault="00776B56" w:rsidP="00776B56">
      <w:pPr>
        <w:tabs>
          <w:tab w:val="left" w:pos="3637"/>
        </w:tabs>
        <w:rPr>
          <w:color w:val="0000FF"/>
        </w:rPr>
      </w:pPr>
    </w:p>
    <w:p w14:paraId="5DC1ACA2" w14:textId="68553565" w:rsidR="006E46BD" w:rsidRPr="006368CC" w:rsidRDefault="006368CC" w:rsidP="004F79A2">
      <w:pPr>
        <w:rPr>
          <w:color w:val="0000FF"/>
        </w:rPr>
      </w:pPr>
      <w:r w:rsidRPr="006368CC">
        <w:t xml:space="preserve">In </w:t>
      </w:r>
      <w:r w:rsidR="001C2662" w:rsidRPr="006368CC">
        <w:t>summary</w:t>
      </w:r>
      <w:r w:rsidRPr="006368CC">
        <w:t>,</w:t>
      </w:r>
      <w:r w:rsidR="001C2662" w:rsidRPr="006368CC">
        <w:t xml:space="preserve"> our study provides a large</w:t>
      </w:r>
      <w:r w:rsidRPr="006368CC">
        <w:t xml:space="preserve"> and comprehensive data set </w:t>
      </w:r>
      <w:r w:rsidR="001C2662" w:rsidRPr="006368CC">
        <w:t>investigat</w:t>
      </w:r>
      <w:r w:rsidRPr="006368CC">
        <w:t>ing the gene-regulatory response</w:t>
      </w:r>
      <w:r w:rsidR="003067F7" w:rsidRPr="006368CC">
        <w:t xml:space="preserve"> of </w:t>
      </w:r>
      <w:r w:rsidR="003067F7" w:rsidRPr="006368CC">
        <w:rPr>
          <w:i/>
        </w:rPr>
        <w:t xml:space="preserve">E. </w:t>
      </w:r>
      <w:r w:rsidR="001C2662" w:rsidRPr="006368CC">
        <w:rPr>
          <w:i/>
        </w:rPr>
        <w:t>coli</w:t>
      </w:r>
      <w:r w:rsidR="001C2662" w:rsidRPr="006368CC">
        <w:t xml:space="preserve"> under different </w:t>
      </w:r>
      <w:r w:rsidRPr="006368CC">
        <w:t xml:space="preserve">growth </w:t>
      </w:r>
      <w:r w:rsidR="001C2662" w:rsidRPr="006368CC">
        <w:t xml:space="preserve">conditions, </w:t>
      </w:r>
      <w:r w:rsidRPr="006368CC">
        <w:t>both at the mRNA and the protein level. We have found</w:t>
      </w:r>
      <w:r>
        <w:t xml:space="preserve"> systematic differences in gene-expression response between exponential and stationary phase, and between mRNAs and proteins. We believe that our data set provides a rich resource for future modeling of the </w:t>
      </w:r>
      <w:r w:rsidRPr="006368CC">
        <w:rPr>
          <w:i/>
        </w:rPr>
        <w:t>E. coli</w:t>
      </w:r>
      <w:r>
        <w:rPr>
          <w:i/>
        </w:rPr>
        <w:t xml:space="preserve"> </w:t>
      </w:r>
      <w:r w:rsidRPr="006368CC">
        <w:t>metabolism</w:t>
      </w:r>
      <w:r>
        <w:t>.</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87B76B" w:rsidR="00E41A2F" w:rsidRPr="00095A90" w:rsidRDefault="00E41A2F" w:rsidP="00E41A2F">
      <w:pPr>
        <w:pStyle w:val="Heading3"/>
        <w:rPr>
          <w:color w:val="FF6600"/>
        </w:rPr>
      </w:pPr>
      <w:r w:rsidRPr="00095A90">
        <w:rPr>
          <w:color w:val="FF6600"/>
        </w:rPr>
        <w:t>RNA-seq</w:t>
      </w:r>
      <w:r w:rsidR="00095A90">
        <w:rPr>
          <w:color w:val="FF6600"/>
        </w:rPr>
        <w:t xml:space="preserve"> (THOSE ORANGE PARTS ARE IDENTICAL TO HOUSER’S PAPER NEEDS TO BE PHARAPRASED)</w:t>
      </w:r>
    </w:p>
    <w:p w14:paraId="268FC8C1" w14:textId="77777777" w:rsidR="00E41A2F" w:rsidRPr="00095A90" w:rsidRDefault="00E41A2F" w:rsidP="00E41A2F">
      <w:pPr>
        <w:rPr>
          <w:color w:val="FF6600"/>
        </w:rPr>
      </w:pPr>
    </w:p>
    <w:p w14:paraId="4D459392" w14:textId="09756CEF" w:rsidR="00E41A2F" w:rsidRPr="00095A90" w:rsidRDefault="00E41A2F" w:rsidP="00E41A2F">
      <w:pPr>
        <w:rPr>
          <w:color w:val="FF6600"/>
        </w:rPr>
      </w:pPr>
      <w:r w:rsidRPr="00095A90">
        <w:rPr>
          <w:color w:val="FF6600"/>
        </w:rPr>
        <w:t>Total RNA was isolated from cell pellets using the RNAsnap method . After extraction, RNA was ethanol precipitated and resuspended in μl H</w:t>
      </w:r>
      <w:r w:rsidRPr="00095A90">
        <w:rPr>
          <w:color w:val="FF6600"/>
          <w:vertAlign w:val="subscript"/>
        </w:rPr>
        <w:t>2</w:t>
      </w:r>
      <w:r w:rsidRPr="00095A90">
        <w:rPr>
          <w:color w:val="FF6600"/>
        </w:rPr>
        <w:t>O. Each sample was then DNase treated and purified using the on-column method for the Zymo Clean &amp; Concentrator-25 (Zymo Research). RNA concentrations were determined throughout the purification using a Qubit 2.0 fluorometer (Life Technologies). DNase-treated total RNA (≤5 μg) was then pro-cessed with the gram-negative bacteria RiboZero rRNA removal kit (Epicentre). After rRNA depletion, each sample was ethanol precipitated and resuspended in H</w:t>
      </w:r>
      <w:r w:rsidRPr="00095A90">
        <w:rPr>
          <w:color w:val="FF6600"/>
          <w:vertAlign w:val="subscript"/>
        </w:rPr>
        <w:t>2</w:t>
      </w:r>
      <w:r w:rsidRPr="00095A90">
        <w:rPr>
          <w:color w:val="FF6600"/>
        </w:rPr>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095A90" w:rsidRDefault="00E41A2F" w:rsidP="00E41A2F">
      <w:pPr>
        <w:rPr>
          <w:color w:val="FF6600"/>
        </w:rPr>
      </w:pPr>
    </w:p>
    <w:p w14:paraId="52F19908" w14:textId="0FD8605D" w:rsidR="00E41A2F" w:rsidRPr="00095A90" w:rsidRDefault="00E41A2F" w:rsidP="00E41A2F">
      <w:pPr>
        <w:rPr>
          <w:color w:val="FF6600"/>
        </w:rPr>
      </w:pPr>
      <w:r w:rsidRPr="00095A90">
        <w:rPr>
          <w:color w:val="FF6600"/>
        </w:rPr>
        <w:t xml:space="preserve">For RNA-seq analysis, we implemented a custom analysis pipeline using the REL606 </w:t>
      </w:r>
      <w:r w:rsidR="00321ADC" w:rsidRPr="00095A90">
        <w:rPr>
          <w:i/>
          <w:color w:val="FF6600"/>
        </w:rPr>
        <w:t xml:space="preserve">E. </w:t>
      </w:r>
      <w:r w:rsidRPr="00095A90">
        <w:rPr>
          <w:i/>
          <w:color w:val="FF6600"/>
        </w:rPr>
        <w:t>coli</w:t>
      </w:r>
      <w:r w:rsidRPr="00095A90">
        <w:rPr>
          <w:color w:val="FF6600"/>
        </w:rPr>
        <w:t xml:space="preserve"> B genome (GenBank: NC_012967.1) as the reference sequence  </w:t>
      </w:r>
      <w:r w:rsidRPr="00095A90">
        <w:rPr>
          <w:color w:val="FF6600"/>
        </w:rPr>
        <w:fldChar w:fldCharType="begin"/>
      </w:r>
      <w:r w:rsidR="00AE3578" w:rsidRPr="00095A90">
        <w:rPr>
          <w:color w:val="FF6600"/>
        </w:rPr>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095A90">
        <w:rPr>
          <w:color w:val="FF6600"/>
        </w:rPr>
        <w:fldChar w:fldCharType="separate"/>
      </w:r>
      <w:r w:rsidR="00AE3578" w:rsidRPr="00095A90">
        <w:rPr>
          <w:noProof/>
          <w:color w:val="FF6600"/>
        </w:rPr>
        <w:t>(Jeong et al. 2009)</w:t>
      </w:r>
      <w:r w:rsidRPr="00095A90">
        <w:rPr>
          <w:color w:val="FF6600"/>
        </w:rPr>
        <w:fldChar w:fldCharType="end"/>
      </w:r>
      <w:r w:rsidRPr="00095A90">
        <w:rPr>
          <w:color w:val="FF6600"/>
        </w:rPr>
        <w:t xml:space="preserve">. We updated annotations of sRNAs in this genome sequence using the Rfam 11.0 database </w:t>
      </w:r>
      <w:r w:rsidRPr="00095A90">
        <w:rPr>
          <w:color w:val="FF6600"/>
        </w:rPr>
        <w:fldChar w:fldCharType="begin"/>
      </w:r>
      <w:r w:rsidR="00AE3578" w:rsidRPr="00095A90">
        <w:rPr>
          <w:color w:val="FF6600"/>
        </w:rPr>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095A90">
        <w:rPr>
          <w:color w:val="FF6600"/>
        </w:rPr>
        <w:fldChar w:fldCharType="separate"/>
      </w:r>
      <w:r w:rsidR="00AE3578" w:rsidRPr="00095A90">
        <w:rPr>
          <w:noProof/>
          <w:color w:val="FF6600"/>
        </w:rPr>
        <w:t>(Burge et al. 2013)</w:t>
      </w:r>
      <w:r w:rsidRPr="00095A90">
        <w:rPr>
          <w:color w:val="FF6600"/>
        </w:rPr>
        <w:fldChar w:fldCharType="end"/>
      </w:r>
      <w:r w:rsidRPr="00095A90">
        <w:rPr>
          <w:color w:val="FF6600"/>
        </w:rPr>
        <w:t xml:space="preserve">. Prior to mapping, we trimmed adapter sequences from Illumina reads using Flexbar 2.31 </w:t>
      </w:r>
      <w:r w:rsidRPr="00095A90">
        <w:rPr>
          <w:color w:val="FF6600"/>
        </w:rPr>
        <w:fldChar w:fldCharType="begin"/>
      </w:r>
      <w:r w:rsidR="00AE3578" w:rsidRPr="00095A90">
        <w:rPr>
          <w:color w:val="FF6600"/>
        </w:rPr>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095A90">
        <w:rPr>
          <w:color w:val="FF6600"/>
        </w:rPr>
        <w:fldChar w:fldCharType="separate"/>
      </w:r>
      <w:r w:rsidR="00AE3578" w:rsidRPr="00095A90">
        <w:rPr>
          <w:noProof/>
          <w:color w:val="FF6600"/>
        </w:rPr>
        <w:t>(Dodt et al. 2012)</w:t>
      </w:r>
      <w:r w:rsidRPr="00095A90">
        <w:rPr>
          <w:color w:val="FF6600"/>
        </w:rPr>
        <w:fldChar w:fldCharType="end"/>
      </w:r>
      <w:r w:rsidRPr="00095A90">
        <w:rPr>
          <w:color w:val="FF6600"/>
        </w:rPr>
        <w:t xml:space="preserve">. Mapping was carried out in single-end mode using Bowtie2 2.1.0 with the –k 1 option to achieve one unique mapping location per read </w:t>
      </w:r>
      <w:r w:rsidRPr="00095A90">
        <w:rPr>
          <w:color w:val="FF6600"/>
        </w:rPr>
        <w:fldChar w:fldCharType="begin"/>
      </w:r>
      <w:r w:rsidR="00AE3578" w:rsidRPr="00095A90">
        <w:rPr>
          <w:color w:val="FF6600"/>
        </w:rPr>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095A90">
        <w:rPr>
          <w:color w:val="FF6600"/>
        </w:rPr>
        <w:fldChar w:fldCharType="separate"/>
      </w:r>
      <w:r w:rsidR="00AE3578" w:rsidRPr="00095A90">
        <w:rPr>
          <w:noProof/>
          <w:color w:val="FF6600"/>
        </w:rPr>
        <w:t>(Langmead and Salzberg 2012)</w:t>
      </w:r>
      <w:r w:rsidRPr="00095A90">
        <w:rPr>
          <w:color w:val="FF6600"/>
        </w:rPr>
        <w:fldChar w:fldCharType="end"/>
      </w:r>
      <w:r w:rsidRPr="00095A90">
        <w:rPr>
          <w:color w:val="FF6600"/>
        </w:rPr>
        <w:t xml:space="preserve">. The raw number of reads mapping to each gene were counted using HTSeq 0.6.0 </w:t>
      </w:r>
      <w:r w:rsidRPr="00095A90">
        <w:rPr>
          <w:color w:val="FF6600"/>
        </w:rPr>
        <w:fldChar w:fldCharType="begin"/>
      </w:r>
      <w:r w:rsidR="00AE3578" w:rsidRPr="00095A90">
        <w:rPr>
          <w:color w:val="FF6600"/>
        </w:rPr>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095A90">
        <w:rPr>
          <w:color w:val="FF6600"/>
        </w:rPr>
        <w:fldChar w:fldCharType="separate"/>
      </w:r>
      <w:r w:rsidR="00AE3578" w:rsidRPr="00095A90">
        <w:rPr>
          <w:noProof/>
          <w:color w:val="FF6600"/>
        </w:rPr>
        <w:t>(Anders, Pyl, and Huber 2015)</w:t>
      </w:r>
      <w:r w:rsidRPr="00095A90">
        <w:rPr>
          <w:color w:val="FF6600"/>
        </w:rPr>
        <w:fldChar w:fldCharType="end"/>
      </w:r>
      <w:r w:rsidRPr="00095A90">
        <w:rPr>
          <w:color w:val="FF6600"/>
        </w:rPr>
        <w:t xml:space="preserve">. </w:t>
      </w:r>
    </w:p>
    <w:p w14:paraId="1988B348" w14:textId="77777777" w:rsidR="00E41A2F" w:rsidRPr="00095A90" w:rsidRDefault="00E41A2F" w:rsidP="00E41A2F">
      <w:pPr>
        <w:rPr>
          <w:color w:val="FF6600"/>
        </w:rPr>
      </w:pPr>
    </w:p>
    <w:p w14:paraId="2C529B43" w14:textId="77777777" w:rsidR="00E41A2F" w:rsidRPr="00095A90" w:rsidRDefault="00E41A2F" w:rsidP="00E41A2F">
      <w:pPr>
        <w:pStyle w:val="Heading3"/>
        <w:rPr>
          <w:color w:val="FF6600"/>
        </w:rPr>
      </w:pPr>
      <w:r w:rsidRPr="00095A90">
        <w:rPr>
          <w:color w:val="FF6600"/>
        </w:rPr>
        <w:t>Proteomics</w:t>
      </w:r>
    </w:p>
    <w:p w14:paraId="781B2577" w14:textId="77777777" w:rsidR="00E41A2F" w:rsidRPr="00095A90" w:rsidRDefault="00E41A2F" w:rsidP="00E41A2F">
      <w:pPr>
        <w:rPr>
          <w:color w:val="FF6600"/>
        </w:rPr>
      </w:pPr>
    </w:p>
    <w:p w14:paraId="4479350D" w14:textId="450DCEAD" w:rsidR="00E41A2F" w:rsidRPr="00095A90" w:rsidRDefault="00E41A2F" w:rsidP="00E41A2F">
      <w:pPr>
        <w:rPr>
          <w:color w:val="FF6600"/>
        </w:rPr>
      </w:pPr>
      <w:r w:rsidRPr="00095A90">
        <w:rPr>
          <w:i/>
          <w:color w:val="FF6600"/>
        </w:rPr>
        <w:t>E. coli</w:t>
      </w:r>
      <w:r w:rsidRPr="00095A90">
        <w:rPr>
          <w:color w:val="FF6600"/>
        </w:rPr>
        <w:t xml:space="preserve"> cell pellets were resuspended in 50 mM Tris-HCl pH 8.0, 10 mM DTT. 2,2,2- trifluoroethanol (Sigma) was added to 50% (v/v) final concentration and samples were incubated at 56°C for 45 min. Following incubation, iodoa</w:t>
      </w:r>
      <w:r w:rsidR="00B05A2C" w:rsidRPr="00095A90">
        <w:rPr>
          <w:color w:val="FF6600"/>
        </w:rPr>
        <w:t>cetamide was added to a concen</w:t>
      </w:r>
      <w:r w:rsidRPr="00095A90">
        <w:rPr>
          <w:color w:val="FF6600"/>
        </w:rPr>
        <w:t>tration of 25 mM and samples were incubated at room temperature in the dark for 30 min. Samples were diluted 10-fold with 2 mM CaCl</w:t>
      </w:r>
      <w:r w:rsidRPr="00095A90">
        <w:rPr>
          <w:color w:val="FF6600"/>
          <w:vertAlign w:val="subscript"/>
        </w:rPr>
        <w:t>2</w:t>
      </w:r>
      <w:r w:rsidRPr="00095A90">
        <w:rPr>
          <w:color w:val="FF6600"/>
        </w:rP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rsidRPr="00095A90">
        <w:rPr>
          <w:color w:val="FF6600"/>
        </w:rPr>
        <w:br/>
      </w:r>
    </w:p>
    <w:p w14:paraId="78F50012" w14:textId="78B64CAB" w:rsidR="00E41A2F" w:rsidRPr="00095A90" w:rsidRDefault="00E41A2F" w:rsidP="00E41A2F">
      <w:pPr>
        <w:rPr>
          <w:color w:val="FF6600"/>
        </w:rPr>
      </w:pPr>
      <w:r w:rsidRPr="00095A90">
        <w:rPr>
          <w:color w:val="FF6600"/>
        </w:rP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rsidRPr="00095A90">
        <w:rPr>
          <w:color w:val="FF6600"/>
        </w:rPr>
        <w:t>ion. Monoisotopic precursor se</w:t>
      </w:r>
      <w:r w:rsidRPr="00095A90">
        <w:rPr>
          <w:color w:val="FF6600"/>
        </w:rP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Pr="00095A90" w:rsidRDefault="00E41A2F" w:rsidP="00E41A2F">
      <w:pPr>
        <w:rPr>
          <w:color w:val="FF6600"/>
        </w:rPr>
      </w:pPr>
    </w:p>
    <w:p w14:paraId="4D32FABF" w14:textId="38EC6950" w:rsidR="00E41A2F" w:rsidRPr="00095A90" w:rsidRDefault="00E41A2F" w:rsidP="00E41A2F">
      <w:pPr>
        <w:rPr>
          <w:color w:val="FF6600"/>
        </w:rPr>
      </w:pPr>
      <w:r w:rsidRPr="00095A90">
        <w:rPr>
          <w:color w:val="FF6600"/>
        </w:rPr>
        <w:t xml:space="preserve">Spectra were searched against an </w:t>
      </w:r>
      <w:r w:rsidRPr="00095A90">
        <w:rPr>
          <w:i/>
          <w:color w:val="FF6600"/>
        </w:rPr>
        <w:t>E. coli</w:t>
      </w:r>
      <w:r w:rsidRPr="00095A90">
        <w:rPr>
          <w:color w:val="FF6600"/>
        </w:rP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152CD44A" w14:textId="77777777" w:rsidR="00B72654" w:rsidRDefault="00B72654" w:rsidP="0073706D">
      <w:pPr>
        <w:rPr>
          <w:b/>
        </w:rPr>
      </w:pPr>
    </w:p>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18CEE380"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technical replicates in DeSeq2 [ref]. The next step is to filter out the unnecessary conditions from the data file. For example if we are trying to figure out the affects of high Mg</w:t>
      </w:r>
      <w:r w:rsidR="0014521F" w:rsidRPr="0014521F">
        <w:rPr>
          <w:vertAlign w:val="superscript"/>
        </w:rPr>
        <w:t>+2</w:t>
      </w:r>
      <w:r>
        <w:t xml:space="preserve"> on </w:t>
      </w:r>
      <w:r w:rsidR="00B72654">
        <w:rPr>
          <w:i/>
        </w:rPr>
        <w:t>E.</w:t>
      </w:r>
      <w:r w:rsidR="00E077A7">
        <w:rPr>
          <w:i/>
        </w:rPr>
        <w:t xml:space="preserve"> </w:t>
      </w:r>
      <w:r w:rsidR="00B72654">
        <w:rPr>
          <w:i/>
        </w:rPr>
        <w:t>c</w:t>
      </w:r>
      <w:r w:rsidRPr="00176D80">
        <w:rPr>
          <w:i/>
        </w:rPr>
        <w:t>oli</w:t>
      </w:r>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5F75FEF0"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AE3110">
        <w:t xml:space="preserve">ated discovery tool (DAVID) </w:t>
      </w:r>
      <w:r w:rsidR="00385FA0">
        <w:fldChar w:fldCharType="begin"/>
      </w:r>
      <w:r w:rsidR="00385FA0">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385FA0">
        <w:fldChar w:fldCharType="separate"/>
      </w:r>
      <w:r w:rsidR="00385FA0">
        <w:rPr>
          <w:noProof/>
        </w:rPr>
        <w:t>(Huang, Sherman, and Lempicki 2008)</w:t>
      </w:r>
      <w:r w:rsidR="00385FA0">
        <w:fldChar w:fldCharType="end"/>
      </w:r>
      <w:r w:rsidR="00385FA0">
        <w:t xml:space="preserve"> </w:t>
      </w:r>
      <w:r>
        <w:t>and look for results related with KEGG pathways</w:t>
      </w:r>
      <w:r w:rsidR="00EE1837">
        <w:t xml:space="preserve"> </w:t>
      </w:r>
      <w:r w:rsidR="00EE1837">
        <w:fldChar w:fldCharType="begin"/>
      </w:r>
      <w:r w:rsidR="00EE1837">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EE1837">
        <w:fldChar w:fldCharType="separate"/>
      </w:r>
      <w:r w:rsidR="00EE1837">
        <w:rPr>
          <w:noProof/>
        </w:rPr>
        <w:t>(Kanehisa and Goto 2000)</w:t>
      </w:r>
      <w:r w:rsidR="00EE1837">
        <w:fldChar w:fldCharType="end"/>
      </w:r>
      <w:r>
        <w:t xml:space="preserve"> and molecular funct</w:t>
      </w:r>
      <w:r w:rsidR="00EE1837">
        <w:t xml:space="preserve">ion related GO annotations </w:t>
      </w:r>
      <w:r w:rsidR="00EE1837">
        <w:fldChar w:fldCharType="begin"/>
      </w:r>
      <w:r w:rsidR="009473E8">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EE1837">
        <w:fldChar w:fldCharType="separate"/>
      </w:r>
      <w:r w:rsidR="009473E8">
        <w:rPr>
          <w:noProof/>
        </w:rPr>
        <w:t>(Ashburner et al. 2000)</w:t>
      </w:r>
      <w:r w:rsidR="00EE1837">
        <w:fldChar w:fldCharType="end"/>
      </w:r>
      <w:r>
        <w:t>.</w:t>
      </w:r>
    </w:p>
    <w:p w14:paraId="518266B9" w14:textId="4B58A005"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48EA68DA" w14:textId="77777777" w:rsidR="00A6256D" w:rsidRPr="00A6256D" w:rsidRDefault="00FD014C" w:rsidP="00A6256D">
      <w:pPr>
        <w:pStyle w:val="Bibliography"/>
        <w:rPr>
          <w:rFonts w:ascii="Calibri"/>
        </w:rPr>
      </w:pPr>
      <w:r>
        <w:fldChar w:fldCharType="begin"/>
      </w:r>
      <w:r w:rsidR="00CA5118">
        <w:instrText xml:space="preserve"> ADDIN ZOTERO_BIBL {"custom":[]} CSL_BIBLIOGRAPHY </w:instrText>
      </w:r>
      <w:r>
        <w:fldChar w:fldCharType="separate"/>
      </w:r>
      <w:r w:rsidR="00A6256D" w:rsidRPr="00A6256D">
        <w:rPr>
          <w:rFonts w:ascii="Calibri"/>
        </w:rPr>
        <w:t xml:space="preserve">Anders, Simon, Paul Theodor Pyl, and Wolfgang Huber. 2015. “HTSeq--a Python Framework to Work with High-Throughput Sequencing Data.” </w:t>
      </w:r>
      <w:r w:rsidR="00A6256D" w:rsidRPr="00A6256D">
        <w:rPr>
          <w:rFonts w:ascii="Calibri"/>
          <w:i/>
          <w:iCs/>
        </w:rPr>
        <w:t>Bioinformatics (Oxford, England)</w:t>
      </w:r>
      <w:r w:rsidR="00A6256D" w:rsidRPr="00A6256D">
        <w:rPr>
          <w:rFonts w:ascii="Calibri"/>
        </w:rPr>
        <w:t xml:space="preserve"> 31 (2): 166–69. doi:10.1093/bioinformatics/btu638.</w:t>
      </w:r>
    </w:p>
    <w:p w14:paraId="63C55EB7" w14:textId="77777777" w:rsidR="00A6256D" w:rsidRPr="00A6256D" w:rsidRDefault="00A6256D" w:rsidP="00A6256D">
      <w:pPr>
        <w:pStyle w:val="Bibliography"/>
        <w:rPr>
          <w:rFonts w:ascii="Calibri"/>
        </w:rPr>
      </w:pPr>
      <w:r w:rsidRPr="00A6256D">
        <w:rPr>
          <w:rFonts w:ascii="Calibri"/>
        </w:rPr>
        <w:t xml:space="preserve">Ashburner, Michael, Catherine A. Ball, Judith A. Blake, David Botstein, Heather Butler, J. Michael Cherry, Allan P. Davis, et al. 2000. “Gene Ontology: Tool for the Unification of Biology.” </w:t>
      </w:r>
      <w:r w:rsidRPr="00A6256D">
        <w:rPr>
          <w:rFonts w:ascii="Calibri"/>
          <w:i/>
          <w:iCs/>
        </w:rPr>
        <w:t>Nature Genetics</w:t>
      </w:r>
      <w:r w:rsidRPr="00A6256D">
        <w:rPr>
          <w:rFonts w:ascii="Calibri"/>
        </w:rPr>
        <w:t xml:space="preserve"> 25 (1): 25–29. doi:10.1038/75556.</w:t>
      </w:r>
    </w:p>
    <w:p w14:paraId="25CF856C" w14:textId="77777777" w:rsidR="00A6256D" w:rsidRPr="00A6256D" w:rsidRDefault="00A6256D" w:rsidP="00A6256D">
      <w:pPr>
        <w:pStyle w:val="Bibliography"/>
        <w:rPr>
          <w:rFonts w:ascii="Calibri"/>
        </w:rPr>
      </w:pPr>
      <w:r w:rsidRPr="00A6256D">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A6256D">
        <w:rPr>
          <w:rFonts w:ascii="Calibri"/>
          <w:i/>
          <w:iCs/>
        </w:rPr>
        <w:t>Journal of Bacteriology</w:t>
      </w:r>
      <w:r w:rsidRPr="00A6256D">
        <w:rPr>
          <w:rFonts w:ascii="Calibri"/>
        </w:rPr>
        <w:t xml:space="preserve"> 180 (14): 3704–10.</w:t>
      </w:r>
    </w:p>
    <w:p w14:paraId="253E4C24" w14:textId="77777777" w:rsidR="00A6256D" w:rsidRPr="00A6256D" w:rsidRDefault="00A6256D" w:rsidP="00A6256D">
      <w:pPr>
        <w:pStyle w:val="Bibliography"/>
        <w:rPr>
          <w:rFonts w:ascii="Calibri"/>
        </w:rPr>
      </w:pPr>
      <w:r w:rsidRPr="00A6256D">
        <w:rPr>
          <w:rFonts w:ascii="Calibri"/>
        </w:rPr>
        <w:t xml:space="preserve">Blattner, Frederick R., Guy Plunkett, Craig A. Bloch, Nicole T. Perna, Valerie Burland, Monica Riley, Julio Collado-Vides, et al. 1997. “The Complete Genome Sequence of Escherichia Coli K-12.” </w:t>
      </w:r>
      <w:r w:rsidRPr="00A6256D">
        <w:rPr>
          <w:rFonts w:ascii="Calibri"/>
          <w:i/>
          <w:iCs/>
        </w:rPr>
        <w:t>Science</w:t>
      </w:r>
      <w:r w:rsidRPr="00A6256D">
        <w:rPr>
          <w:rFonts w:ascii="Calibri"/>
        </w:rPr>
        <w:t xml:space="preserve"> 277 (5331): 1453–62. doi:10.1126/science.277.5331.1453.</w:t>
      </w:r>
    </w:p>
    <w:p w14:paraId="61FBB4A1" w14:textId="77777777" w:rsidR="00A6256D" w:rsidRPr="00A6256D" w:rsidRDefault="00A6256D" w:rsidP="00A6256D">
      <w:pPr>
        <w:pStyle w:val="Bibliography"/>
        <w:rPr>
          <w:rFonts w:ascii="Calibri"/>
        </w:rPr>
      </w:pPr>
      <w:r w:rsidRPr="00A6256D">
        <w:rPr>
          <w:rFonts w:ascii="Calibri"/>
        </w:rPr>
        <w:t xml:space="preserve">Botstein, David, and Neil Risch. 2003. “Discovering Genotypes Underlying Human Phenotypes: Past Successes for Mendelian Disease, Future Approaches for Complex Disease.” </w:t>
      </w:r>
      <w:r w:rsidRPr="00A6256D">
        <w:rPr>
          <w:rFonts w:ascii="Calibri"/>
          <w:i/>
          <w:iCs/>
        </w:rPr>
        <w:t>Nature Genetics</w:t>
      </w:r>
      <w:r w:rsidRPr="00A6256D">
        <w:rPr>
          <w:rFonts w:ascii="Calibri"/>
        </w:rPr>
        <w:t xml:space="preserve"> 33 (March): 228–37. doi:10.1038/ng1090.</w:t>
      </w:r>
    </w:p>
    <w:p w14:paraId="104D5D22" w14:textId="77777777" w:rsidR="00A6256D" w:rsidRPr="00A6256D" w:rsidRDefault="00A6256D" w:rsidP="00A6256D">
      <w:pPr>
        <w:pStyle w:val="Bibliography"/>
        <w:rPr>
          <w:rFonts w:ascii="Calibri"/>
        </w:rPr>
      </w:pPr>
      <w:r w:rsidRPr="00A6256D">
        <w:rPr>
          <w:rFonts w:ascii="Calibri"/>
        </w:rPr>
        <w:t xml:space="preserve">Burge, Sarah W., Jennifer Daub, Ruth Eberhardt, John Tate, Lars Barquist, Eric P. Nawrocki, Sean R. Eddy, Paul P. Gardner, and Alex Bateman. 2013. “Rfam 11.0: 10 Years of RNA Families.” </w:t>
      </w:r>
      <w:r w:rsidRPr="00A6256D">
        <w:rPr>
          <w:rFonts w:ascii="Calibri"/>
          <w:i/>
          <w:iCs/>
        </w:rPr>
        <w:t>Nucleic Acids Research</w:t>
      </w:r>
      <w:r w:rsidRPr="00A6256D">
        <w:rPr>
          <w:rFonts w:ascii="Calibri"/>
        </w:rPr>
        <w:t xml:space="preserve"> 41 (Database issue): D226–32. doi:10.1093/nar/gks1005.</w:t>
      </w:r>
    </w:p>
    <w:p w14:paraId="02FA9043" w14:textId="77777777" w:rsidR="00A6256D" w:rsidRPr="00A6256D" w:rsidRDefault="00A6256D" w:rsidP="00A6256D">
      <w:pPr>
        <w:pStyle w:val="Bibliography"/>
        <w:rPr>
          <w:rFonts w:ascii="Calibri"/>
        </w:rPr>
      </w:pPr>
      <w:r w:rsidRPr="00A6256D">
        <w:rPr>
          <w:rFonts w:ascii="Calibri"/>
        </w:rPr>
        <w:t xml:space="preserve">Dodt, Matthias, Johannes T. Roehr, Rina Ahmed, and Christoph Dieterich. 2012. “FLEXBAR—Flexible Barcode and Adapter Processing for Next-Generation Sequencing Platforms.” </w:t>
      </w:r>
      <w:r w:rsidRPr="00A6256D">
        <w:rPr>
          <w:rFonts w:ascii="Calibri"/>
          <w:i/>
          <w:iCs/>
        </w:rPr>
        <w:t>Biology</w:t>
      </w:r>
      <w:r w:rsidRPr="00A6256D">
        <w:rPr>
          <w:rFonts w:ascii="Calibri"/>
        </w:rPr>
        <w:t xml:space="preserve"> 1 (3): 895–905. doi:10.3390/biology1030895.</w:t>
      </w:r>
    </w:p>
    <w:p w14:paraId="617D0293" w14:textId="77777777" w:rsidR="00A6256D" w:rsidRPr="00A6256D" w:rsidRDefault="00A6256D" w:rsidP="00A6256D">
      <w:pPr>
        <w:pStyle w:val="Bibliography"/>
        <w:rPr>
          <w:rFonts w:ascii="Calibri"/>
        </w:rPr>
      </w:pPr>
      <w:r w:rsidRPr="00A6256D">
        <w:rPr>
          <w:rFonts w:ascii="Calibri"/>
        </w:rPr>
        <w:t xml:space="preserve">Fujita, Y., T. Fujita, Y. Miwa, J. Nihashi, and Y. Aratani. 1986. “Organization and Transcription of the Gluconate Operon, Gnt, of Bacillus Subtilis.” </w:t>
      </w:r>
      <w:r w:rsidRPr="00A6256D">
        <w:rPr>
          <w:rFonts w:ascii="Calibri"/>
          <w:i/>
          <w:iCs/>
        </w:rPr>
        <w:t>Journal of Biological Chemistry</w:t>
      </w:r>
      <w:r w:rsidRPr="00A6256D">
        <w:rPr>
          <w:rFonts w:ascii="Calibri"/>
        </w:rPr>
        <w:t xml:space="preserve"> 261 (29): 13744–53.</w:t>
      </w:r>
    </w:p>
    <w:p w14:paraId="13D8B000" w14:textId="77777777" w:rsidR="00A6256D" w:rsidRPr="00A6256D" w:rsidRDefault="00A6256D" w:rsidP="00A6256D">
      <w:pPr>
        <w:pStyle w:val="Bibliography"/>
        <w:rPr>
          <w:rFonts w:ascii="Calibri"/>
        </w:rPr>
      </w:pPr>
      <w:r w:rsidRPr="00A6256D">
        <w:rPr>
          <w:rFonts w:ascii="Calibri"/>
        </w:rPr>
        <w:t xml:space="preserve">Gadgil, Mugdha, Vivek Kapur, and Wei-Shou Hu. 2005. “Transcriptional Response of Escherichia Coli to Temperature Shift.” </w:t>
      </w:r>
      <w:r w:rsidRPr="00A6256D">
        <w:rPr>
          <w:rFonts w:ascii="Calibri"/>
          <w:i/>
          <w:iCs/>
        </w:rPr>
        <w:t>Biotechnology Progress</w:t>
      </w:r>
      <w:r w:rsidRPr="00A6256D">
        <w:rPr>
          <w:rFonts w:ascii="Calibri"/>
        </w:rPr>
        <w:t xml:space="preserve"> 21 (3): 689–99. doi:10.1021/bp049630l.</w:t>
      </w:r>
    </w:p>
    <w:p w14:paraId="7AE4BE5F" w14:textId="77777777" w:rsidR="00A6256D" w:rsidRPr="00A6256D" w:rsidRDefault="00A6256D" w:rsidP="00A6256D">
      <w:pPr>
        <w:pStyle w:val="Bibliography"/>
        <w:rPr>
          <w:rFonts w:ascii="Calibri"/>
        </w:rPr>
      </w:pPr>
      <w:r w:rsidRPr="00A6256D">
        <w:rPr>
          <w:rFonts w:ascii="Calibri"/>
        </w:rPr>
        <w:t xml:space="preserve">Hantke, K. 1997. “Ferrous Iron Uptake by a Magnesium Transport System Is Toxic for Escherichia Coli and Salmonella Typhimurium.” </w:t>
      </w:r>
      <w:r w:rsidRPr="00A6256D">
        <w:rPr>
          <w:rFonts w:ascii="Calibri"/>
          <w:i/>
          <w:iCs/>
        </w:rPr>
        <w:t>Journal of Bacteriology</w:t>
      </w:r>
      <w:r w:rsidRPr="00A6256D">
        <w:rPr>
          <w:rFonts w:ascii="Calibri"/>
        </w:rPr>
        <w:t xml:space="preserve"> 179 (19): 6201–4.</w:t>
      </w:r>
    </w:p>
    <w:p w14:paraId="34684291" w14:textId="77777777" w:rsidR="00A6256D" w:rsidRPr="00A6256D" w:rsidRDefault="00A6256D" w:rsidP="00A6256D">
      <w:pPr>
        <w:pStyle w:val="Bibliography"/>
        <w:rPr>
          <w:rFonts w:ascii="Calibri"/>
        </w:rPr>
      </w:pPr>
      <w:r w:rsidRPr="00A6256D">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A6256D">
        <w:rPr>
          <w:rFonts w:ascii="Calibri"/>
          <w:i/>
          <w:iCs/>
        </w:rPr>
        <w:t>PLoS Computational Biology</w:t>
      </w:r>
      <w:r w:rsidRPr="00A6256D">
        <w:rPr>
          <w:rFonts w:ascii="Calibri"/>
        </w:rPr>
        <w:t xml:space="preserve"> 11 (8): e1004400. doi:10.1371/journal.pcbi.1004400.</w:t>
      </w:r>
    </w:p>
    <w:p w14:paraId="1ECE787D" w14:textId="77777777" w:rsidR="00A6256D" w:rsidRPr="00A6256D" w:rsidRDefault="00A6256D" w:rsidP="00A6256D">
      <w:pPr>
        <w:pStyle w:val="Bibliography"/>
        <w:rPr>
          <w:rFonts w:ascii="Calibri"/>
        </w:rPr>
      </w:pPr>
      <w:r w:rsidRPr="00A6256D">
        <w:rPr>
          <w:rFonts w:ascii="Calibri"/>
        </w:rPr>
        <w:t xml:space="preserve">Huang, Da Wei, Brad T. Sherman, and Richard A. Lempicki. 2008. “Systematic and Integrative Analysis of Large Gene Lists Using DAVID Bioinformatics Resources.” </w:t>
      </w:r>
      <w:r w:rsidRPr="00A6256D">
        <w:rPr>
          <w:rFonts w:ascii="Calibri"/>
          <w:i/>
          <w:iCs/>
        </w:rPr>
        <w:t>Nature Protocols</w:t>
      </w:r>
      <w:r w:rsidRPr="00A6256D">
        <w:rPr>
          <w:rFonts w:ascii="Calibri"/>
        </w:rPr>
        <w:t xml:space="preserve"> 4 (1): 44–57. doi:10.1038/nprot.2008.211.</w:t>
      </w:r>
    </w:p>
    <w:p w14:paraId="71F115A5" w14:textId="77777777" w:rsidR="00A6256D" w:rsidRPr="00A6256D" w:rsidRDefault="00A6256D" w:rsidP="00A6256D">
      <w:pPr>
        <w:pStyle w:val="Bibliography"/>
        <w:rPr>
          <w:rFonts w:ascii="Calibri"/>
        </w:rPr>
      </w:pPr>
      <w:r w:rsidRPr="00A6256D">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A6256D">
        <w:rPr>
          <w:rFonts w:ascii="Calibri"/>
          <w:i/>
          <w:iCs/>
        </w:rPr>
        <w:t>Science</w:t>
      </w:r>
      <w:r w:rsidRPr="00A6256D">
        <w:rPr>
          <w:rFonts w:ascii="Calibri"/>
        </w:rPr>
        <w:t xml:space="preserve"> 292 (5518): 929–34. doi:10.1126/science.292.5518.929.</w:t>
      </w:r>
    </w:p>
    <w:p w14:paraId="48D84AA9" w14:textId="77777777" w:rsidR="00A6256D" w:rsidRPr="00A6256D" w:rsidRDefault="00A6256D" w:rsidP="00A6256D">
      <w:pPr>
        <w:pStyle w:val="Bibliography"/>
        <w:rPr>
          <w:rFonts w:ascii="Calibri"/>
        </w:rPr>
      </w:pPr>
      <w:r w:rsidRPr="00A6256D">
        <w:rPr>
          <w:rFonts w:ascii="Calibri"/>
        </w:rPr>
        <w:t xml:space="preserve">Jeong, Haeyoung, Valérie Barbe, Choong Hoon Lee, David Vallenet, Dong Su Yu, Sang-Haeng Choi, Arnaud Couloux, et al. 2009. “Genome Sequences of Escherichia Coli B Strains REL606 and BL21(DE3).” </w:t>
      </w:r>
      <w:r w:rsidRPr="00A6256D">
        <w:rPr>
          <w:rFonts w:ascii="Calibri"/>
          <w:i/>
          <w:iCs/>
        </w:rPr>
        <w:t>Journal of Molecular Biology</w:t>
      </w:r>
      <w:r w:rsidRPr="00A6256D">
        <w:rPr>
          <w:rFonts w:ascii="Calibri"/>
        </w:rPr>
        <w:t xml:space="preserve"> 394 (4): 644–52. doi:10.1016/j.jmb.2009.09.052.</w:t>
      </w:r>
    </w:p>
    <w:p w14:paraId="2CB508A4" w14:textId="77777777" w:rsidR="00A6256D" w:rsidRPr="00A6256D" w:rsidRDefault="00A6256D" w:rsidP="00A6256D">
      <w:pPr>
        <w:pStyle w:val="Bibliography"/>
        <w:rPr>
          <w:rFonts w:ascii="Calibri"/>
        </w:rPr>
      </w:pPr>
      <w:r w:rsidRPr="00A6256D">
        <w:rPr>
          <w:rFonts w:ascii="Calibri"/>
        </w:rPr>
        <w:t xml:space="preserve">Joyce, Andrew R., and Bernhard Ø Palsson. 2006. “The Model Organism as a System: Integrating ‘Omics’ Data Sets.” </w:t>
      </w:r>
      <w:r w:rsidRPr="00A6256D">
        <w:rPr>
          <w:rFonts w:ascii="Calibri"/>
          <w:i/>
          <w:iCs/>
        </w:rPr>
        <w:t>Nature Reviews Molecular Cell Biology</w:t>
      </w:r>
      <w:r w:rsidRPr="00A6256D">
        <w:rPr>
          <w:rFonts w:ascii="Calibri"/>
        </w:rPr>
        <w:t xml:space="preserve"> 7 (3): 198–210. doi:10.1038/nrm1857.</w:t>
      </w:r>
    </w:p>
    <w:p w14:paraId="38194DDA" w14:textId="77777777" w:rsidR="00A6256D" w:rsidRPr="00A6256D" w:rsidRDefault="00A6256D" w:rsidP="00A6256D">
      <w:pPr>
        <w:pStyle w:val="Bibliography"/>
        <w:rPr>
          <w:rFonts w:ascii="Calibri"/>
        </w:rPr>
      </w:pPr>
      <w:r w:rsidRPr="00A6256D">
        <w:rPr>
          <w:rFonts w:ascii="Calibri"/>
        </w:rPr>
        <w:t xml:space="preserve">Kanehisa, Minoru, and Susumu Goto. 2000. “KEGG: Kyoto Encyclopedia of Genes and Genomes.” </w:t>
      </w:r>
      <w:r w:rsidRPr="00A6256D">
        <w:rPr>
          <w:rFonts w:ascii="Calibri"/>
          <w:i/>
          <w:iCs/>
        </w:rPr>
        <w:t>Nucleic Acids Research</w:t>
      </w:r>
      <w:r w:rsidRPr="00A6256D">
        <w:rPr>
          <w:rFonts w:ascii="Calibri"/>
        </w:rPr>
        <w:t xml:space="preserve"> 28 (1): 27–30.</w:t>
      </w:r>
    </w:p>
    <w:p w14:paraId="3DCC689B" w14:textId="77777777" w:rsidR="00A6256D" w:rsidRPr="00A6256D" w:rsidRDefault="00A6256D" w:rsidP="00A6256D">
      <w:pPr>
        <w:pStyle w:val="Bibliography"/>
        <w:rPr>
          <w:rFonts w:ascii="Calibri"/>
        </w:rPr>
      </w:pPr>
      <w:r w:rsidRPr="00A6256D">
        <w:rPr>
          <w:rFonts w:ascii="Calibri"/>
        </w:rPr>
        <w:t xml:space="preserve">Kim, Minseung, Violeta Zorraquino, and Ilias Tagkopoulos. 2015. “Microbial Forensics: Predicting Phenotypic Characteristics and Environmental Conditions from Large-Scale Gene Expression Profiles.” </w:t>
      </w:r>
      <w:r w:rsidRPr="00A6256D">
        <w:rPr>
          <w:rFonts w:ascii="Calibri"/>
          <w:i/>
          <w:iCs/>
        </w:rPr>
        <w:t>PLOS Comput Biol</w:t>
      </w:r>
      <w:r w:rsidRPr="00A6256D">
        <w:rPr>
          <w:rFonts w:ascii="Calibri"/>
        </w:rPr>
        <w:t xml:space="preserve"> 11 (3): e1004127. doi:10.1371/journal.pcbi.1004127.</w:t>
      </w:r>
    </w:p>
    <w:p w14:paraId="65D5D5ED" w14:textId="77777777" w:rsidR="00A6256D" w:rsidRPr="00A6256D" w:rsidRDefault="00A6256D" w:rsidP="00A6256D">
      <w:pPr>
        <w:pStyle w:val="Bibliography"/>
        <w:rPr>
          <w:rFonts w:ascii="Calibri"/>
        </w:rPr>
      </w:pPr>
      <w:r w:rsidRPr="00A6256D">
        <w:rPr>
          <w:rFonts w:ascii="Calibri"/>
        </w:rPr>
        <w:t xml:space="preserve">Langmead, Ben, and Steven L. Salzberg. 2012. “Fast Gapped-Read Alignment with Bowtie 2.” </w:t>
      </w:r>
      <w:r w:rsidRPr="00A6256D">
        <w:rPr>
          <w:rFonts w:ascii="Calibri"/>
          <w:i/>
          <w:iCs/>
        </w:rPr>
        <w:t>Nature Methods</w:t>
      </w:r>
      <w:r w:rsidRPr="00A6256D">
        <w:rPr>
          <w:rFonts w:ascii="Calibri"/>
        </w:rPr>
        <w:t xml:space="preserve"> 9 (4): 357–59. doi:10.1038/nmeth.1923.</w:t>
      </w:r>
    </w:p>
    <w:p w14:paraId="577CDA36" w14:textId="77777777" w:rsidR="00A6256D" w:rsidRPr="00A6256D" w:rsidRDefault="00A6256D" w:rsidP="00A6256D">
      <w:pPr>
        <w:pStyle w:val="Bibliography"/>
        <w:rPr>
          <w:rFonts w:ascii="Calibri"/>
        </w:rPr>
      </w:pPr>
      <w:r w:rsidRPr="00A6256D">
        <w:rPr>
          <w:rFonts w:ascii="Calibri"/>
        </w:rPr>
        <w:t xml:space="preserve">Lee, Sang Yup. 1996. “High Cell-Density Culture of Escherichia Coli.” </w:t>
      </w:r>
      <w:r w:rsidRPr="00A6256D">
        <w:rPr>
          <w:rFonts w:ascii="Calibri"/>
          <w:i/>
          <w:iCs/>
        </w:rPr>
        <w:t>Trends in Biotechnology</w:t>
      </w:r>
      <w:r w:rsidRPr="00A6256D">
        <w:rPr>
          <w:rFonts w:ascii="Calibri"/>
        </w:rPr>
        <w:t xml:space="preserve"> 14 (3): 98–105. doi:10.1016/0167-7799(96)80930-9.</w:t>
      </w:r>
    </w:p>
    <w:p w14:paraId="6BCC1FC8" w14:textId="77777777" w:rsidR="00A6256D" w:rsidRPr="00A6256D" w:rsidRDefault="00A6256D" w:rsidP="00A6256D">
      <w:pPr>
        <w:pStyle w:val="Bibliography"/>
        <w:rPr>
          <w:rFonts w:ascii="Calibri"/>
        </w:rPr>
      </w:pPr>
      <w:r w:rsidRPr="00A6256D">
        <w:rPr>
          <w:rFonts w:ascii="Calibri"/>
        </w:rPr>
        <w:t xml:space="preserve">Lewis, Nathan E., Byung-Kwan Cho, Eric M. Knight, and Bernhard O. Palsson. 2009. “Gene Expression Profiling and the Use of Genome-Scale In Silico Models of Escherichia Coli for Analysis: Providing Context for Content.” </w:t>
      </w:r>
      <w:r w:rsidRPr="00A6256D">
        <w:rPr>
          <w:rFonts w:ascii="Calibri"/>
          <w:i/>
          <w:iCs/>
        </w:rPr>
        <w:t>Journal of Bacteriology</w:t>
      </w:r>
      <w:r w:rsidRPr="00A6256D">
        <w:rPr>
          <w:rFonts w:ascii="Calibri"/>
        </w:rPr>
        <w:t xml:space="preserve"> 191 (11): 3437–44. doi:10.1128/JB.00034-09.</w:t>
      </w:r>
    </w:p>
    <w:p w14:paraId="10EC3784" w14:textId="77777777" w:rsidR="00A6256D" w:rsidRPr="00A6256D" w:rsidRDefault="00A6256D" w:rsidP="00A6256D">
      <w:pPr>
        <w:pStyle w:val="Bibliography"/>
        <w:rPr>
          <w:rFonts w:ascii="Calibri"/>
        </w:rPr>
      </w:pPr>
      <w:r w:rsidRPr="00A6256D">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A6256D">
        <w:rPr>
          <w:rFonts w:ascii="Calibri"/>
          <w:i/>
          <w:iCs/>
        </w:rPr>
        <w:t>Molecular Systems Biology</w:t>
      </w:r>
      <w:r w:rsidRPr="00A6256D">
        <w:rPr>
          <w:rFonts w:ascii="Calibri"/>
        </w:rPr>
        <w:t xml:space="preserve"> 6 (July): 390. doi:10.1038/msb.2010.47.</w:t>
      </w:r>
    </w:p>
    <w:p w14:paraId="511A802B" w14:textId="77777777" w:rsidR="00A6256D" w:rsidRPr="00A6256D" w:rsidRDefault="00A6256D" w:rsidP="00A6256D">
      <w:pPr>
        <w:pStyle w:val="Bibliography"/>
        <w:rPr>
          <w:rFonts w:ascii="Calibri"/>
        </w:rPr>
      </w:pPr>
      <w:r w:rsidRPr="00A6256D">
        <w:rPr>
          <w:rFonts w:ascii="Calibri"/>
        </w:rPr>
        <w:t xml:space="preserve">Love, Michael I., Wolfgang Huber, and Simon Anders. 2014. “Moderated Estimation of Fold Change and Dispersion for RNA-Seq Data with DESeq2.” </w:t>
      </w:r>
      <w:r w:rsidRPr="00A6256D">
        <w:rPr>
          <w:rFonts w:ascii="Calibri"/>
          <w:i/>
          <w:iCs/>
        </w:rPr>
        <w:t>Genome Biology</w:t>
      </w:r>
      <w:r w:rsidRPr="00A6256D">
        <w:rPr>
          <w:rFonts w:ascii="Calibri"/>
        </w:rPr>
        <w:t xml:space="preserve"> 15 (12): 550. doi:10.1186/s13059-014-0550-8.</w:t>
      </w:r>
    </w:p>
    <w:p w14:paraId="00B3DAD3" w14:textId="77777777" w:rsidR="00A6256D" w:rsidRPr="00A6256D" w:rsidRDefault="00A6256D" w:rsidP="00A6256D">
      <w:pPr>
        <w:pStyle w:val="Bibliography"/>
        <w:rPr>
          <w:rFonts w:ascii="Calibri"/>
        </w:rPr>
      </w:pPr>
      <w:r w:rsidRPr="00A6256D">
        <w:rPr>
          <w:rFonts w:ascii="Calibri"/>
        </w:rPr>
        <w:t xml:space="preserve">Madhulatha, T. Soni. 2012. “An Overview on Clustering Methods.” </w:t>
      </w:r>
      <w:r w:rsidRPr="00A6256D">
        <w:rPr>
          <w:rFonts w:ascii="Calibri"/>
          <w:i/>
          <w:iCs/>
        </w:rPr>
        <w:t>arXiv:1205.1117 [cs]</w:t>
      </w:r>
      <w:r w:rsidRPr="00A6256D">
        <w:rPr>
          <w:rFonts w:ascii="Calibri"/>
        </w:rPr>
        <w:t>, May. http://arxiv.org/abs/1205.1117.</w:t>
      </w:r>
    </w:p>
    <w:p w14:paraId="0EDE8508" w14:textId="77777777" w:rsidR="00A6256D" w:rsidRPr="00A6256D" w:rsidRDefault="00A6256D" w:rsidP="00A6256D">
      <w:pPr>
        <w:pStyle w:val="Bibliography"/>
        <w:rPr>
          <w:rFonts w:ascii="Calibri"/>
        </w:rPr>
      </w:pPr>
      <w:r w:rsidRPr="00A6256D">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A6256D">
        <w:rPr>
          <w:rFonts w:ascii="Calibri"/>
          <w:i/>
          <w:iCs/>
        </w:rPr>
        <w:t>Nature Biotechnology</w:t>
      </w:r>
      <w:r w:rsidRPr="00A6256D">
        <w:rPr>
          <w:rFonts w:ascii="Calibri"/>
        </w:rPr>
        <w:t xml:space="preserve"> advance online publication (December). doi:10.1038/nbt.3418.</w:t>
      </w:r>
    </w:p>
    <w:p w14:paraId="09A2361D" w14:textId="77777777" w:rsidR="00A6256D" w:rsidRPr="00A6256D" w:rsidRDefault="00A6256D" w:rsidP="00A6256D">
      <w:pPr>
        <w:pStyle w:val="Bibliography"/>
        <w:rPr>
          <w:rFonts w:ascii="Calibri"/>
        </w:rPr>
      </w:pPr>
      <w:r w:rsidRPr="00A6256D">
        <w:rPr>
          <w:rFonts w:ascii="Calibri"/>
        </w:rPr>
        <w:t xml:space="preserve">So, Lok-hang, Anandamohan Ghosh, Chenghang Zong, Leonardo A. Sepúlveda, Ronen Segev, and Ido Golding. 2011. “General Properties of Transcriptional Time Series in Escherichia Coli.” </w:t>
      </w:r>
      <w:r w:rsidRPr="00A6256D">
        <w:rPr>
          <w:rFonts w:ascii="Calibri"/>
          <w:i/>
          <w:iCs/>
        </w:rPr>
        <w:t>Nature Genetics</w:t>
      </w:r>
      <w:r w:rsidRPr="00A6256D">
        <w:rPr>
          <w:rFonts w:ascii="Calibri"/>
        </w:rPr>
        <w:t xml:space="preserve"> 43 (6): 554–60. doi:10.1038/ng.821.</w:t>
      </w:r>
    </w:p>
    <w:p w14:paraId="2F02A9FA" w14:textId="77777777" w:rsidR="00A6256D" w:rsidRPr="00A6256D" w:rsidRDefault="00A6256D" w:rsidP="00A6256D">
      <w:pPr>
        <w:pStyle w:val="Bibliography"/>
        <w:rPr>
          <w:rFonts w:ascii="Calibri"/>
        </w:rPr>
      </w:pPr>
      <w:r w:rsidRPr="00A6256D">
        <w:rPr>
          <w:rFonts w:ascii="Calibri"/>
        </w:rPr>
        <w:t xml:space="preserve">Soufi, Boumediene, Karsten Krug, Andreas Harst, and Boris Macek. 2015. “Characterization of the E. Coli Proteome and Its Modifications during Growth and Ethanol Stress.” </w:t>
      </w:r>
      <w:r w:rsidRPr="00A6256D">
        <w:rPr>
          <w:rFonts w:ascii="Calibri"/>
          <w:i/>
          <w:iCs/>
        </w:rPr>
        <w:t>Frontiers in Microbiology</w:t>
      </w:r>
      <w:r w:rsidRPr="00A6256D">
        <w:rPr>
          <w:rFonts w:ascii="Calibri"/>
        </w:rPr>
        <w:t xml:space="preserve"> 6 (February). doi:10.3389/fmicb.2015.00103.</w:t>
      </w:r>
    </w:p>
    <w:p w14:paraId="143F96D4" w14:textId="77777777" w:rsidR="00A6256D" w:rsidRPr="00A6256D" w:rsidRDefault="00A6256D" w:rsidP="00A6256D">
      <w:pPr>
        <w:pStyle w:val="Bibliography"/>
        <w:rPr>
          <w:rFonts w:ascii="Calibri"/>
        </w:rPr>
      </w:pPr>
      <w:r w:rsidRPr="00A6256D">
        <w:rPr>
          <w:rFonts w:ascii="Calibri"/>
        </w:rPr>
        <w:t xml:space="preserve">Taniguchi, Yuichi, Paul J. Choi, Gene-Wei Li, Huiyi Chen, Mohan Babu, Jeremy Hearn, Andrew Emili, and X. Sunney Xie. 2010. “Quantifying E. Coli Proteome and Transcriptome with Single-Molecule Sensitivity in Single Cells.” </w:t>
      </w:r>
      <w:r w:rsidRPr="00A6256D">
        <w:rPr>
          <w:rFonts w:ascii="Calibri"/>
          <w:i/>
          <w:iCs/>
        </w:rPr>
        <w:t>Science</w:t>
      </w:r>
      <w:r w:rsidRPr="00A6256D">
        <w:rPr>
          <w:rFonts w:ascii="Calibri"/>
        </w:rPr>
        <w:t xml:space="preserve"> 329 (5991): 533–38. doi:10.1126/science.1188308.</w:t>
      </w:r>
    </w:p>
    <w:p w14:paraId="668A0B48" w14:textId="77777777" w:rsidR="00A6256D" w:rsidRPr="00A6256D" w:rsidRDefault="00A6256D" w:rsidP="00A6256D">
      <w:pPr>
        <w:pStyle w:val="Bibliography"/>
        <w:rPr>
          <w:rFonts w:ascii="Calibri"/>
        </w:rPr>
      </w:pPr>
      <w:r w:rsidRPr="00A6256D">
        <w:rPr>
          <w:rFonts w:ascii="Calibri"/>
        </w:rPr>
        <w:t xml:space="preserve">Vogel, Christine, and Edward M. Marcotte. 2012. “Insights into the Regulation of Protein Abundance from Proteomic and Transcriptomic Analyses.” </w:t>
      </w:r>
      <w:r w:rsidRPr="00A6256D">
        <w:rPr>
          <w:rFonts w:ascii="Calibri"/>
          <w:i/>
          <w:iCs/>
        </w:rPr>
        <w:t>Nature Reviews Genetics</w:t>
      </w:r>
      <w:r w:rsidRPr="00A6256D">
        <w:rPr>
          <w:rFonts w:ascii="Calibri"/>
        </w:rPr>
        <w:t xml:space="preserve"> 13 (4): 227–32. doi:10.1038/nrg3185.</w:t>
      </w:r>
    </w:p>
    <w:p w14:paraId="58DFBD8E" w14:textId="77777777" w:rsidR="00A6256D" w:rsidRPr="00A6256D" w:rsidRDefault="00A6256D" w:rsidP="00A6256D">
      <w:pPr>
        <w:pStyle w:val="Bibliography"/>
        <w:rPr>
          <w:rFonts w:ascii="Calibri"/>
        </w:rPr>
      </w:pPr>
      <w:r w:rsidRPr="00A6256D">
        <w:rPr>
          <w:rFonts w:ascii="Calibri"/>
        </w:rPr>
        <w:t xml:space="preserve">Weber, Arnim, Stephanie A. Kögl, and Kirsten Jung. 2006. “Time-Dependent Proteome Alterations under Osmotic Stress during Aerobic and Anaerobic Growth in Escherichia Coli.” </w:t>
      </w:r>
      <w:r w:rsidRPr="00A6256D">
        <w:rPr>
          <w:rFonts w:ascii="Calibri"/>
          <w:i/>
          <w:iCs/>
        </w:rPr>
        <w:t>Journal of Bacteriology</w:t>
      </w:r>
      <w:r w:rsidRPr="00A6256D">
        <w:rPr>
          <w:rFonts w:ascii="Calibri"/>
        </w:rPr>
        <w:t xml:space="preserve"> 188 (20): 7165–75. doi:10.1128/JB.00508-06.</w:t>
      </w:r>
    </w:p>
    <w:p w14:paraId="1A77E46D" w14:textId="77777777" w:rsidR="00A6256D" w:rsidRPr="00A6256D" w:rsidRDefault="00A6256D" w:rsidP="00A6256D">
      <w:pPr>
        <w:pStyle w:val="Bibliography"/>
        <w:rPr>
          <w:rFonts w:ascii="Calibri"/>
        </w:rPr>
      </w:pPr>
      <w:r w:rsidRPr="00A6256D">
        <w:rPr>
          <w:rFonts w:ascii="Calibri"/>
        </w:rPr>
        <w:t xml:space="preserve">Weissenborn, D. L., N. Wittekindt, and T. J. Larson. 1992. “Structure and Regulation of the glpFK Operon Encoding Glycerol Diffusion Facilitator and Glycerol Kinase of Escherichia Coli K-12.” </w:t>
      </w:r>
      <w:r w:rsidRPr="00A6256D">
        <w:rPr>
          <w:rFonts w:ascii="Calibri"/>
          <w:i/>
          <w:iCs/>
        </w:rPr>
        <w:t>Journal of Biological Chemistry</w:t>
      </w:r>
      <w:r w:rsidRPr="00A6256D">
        <w:rPr>
          <w:rFonts w:ascii="Calibri"/>
        </w:rPr>
        <w:t xml:space="preserve"> 267 (9): 6122–31.</w:t>
      </w:r>
    </w:p>
    <w:p w14:paraId="0482FC66" w14:textId="77777777" w:rsidR="00A6256D" w:rsidRPr="00A6256D" w:rsidRDefault="00A6256D" w:rsidP="00A6256D">
      <w:pPr>
        <w:pStyle w:val="Bibliography"/>
        <w:rPr>
          <w:rFonts w:ascii="Calibri"/>
        </w:rPr>
      </w:pPr>
      <w:r w:rsidRPr="00A6256D">
        <w:rPr>
          <w:rFonts w:ascii="Calibri"/>
        </w:rPr>
        <w:t xml:space="preserve">Yoon, Sung Ho, Mee-Jung Han, Sang Yup Lee, Ki Jun Jeong, and Jong-Shin Yoo. 2003. “Combined Transcriptome and Proteome Analysis of Escherichia Coli during High Cell Density Culture.” </w:t>
      </w:r>
      <w:r w:rsidRPr="00A6256D">
        <w:rPr>
          <w:rFonts w:ascii="Calibri"/>
          <w:i/>
          <w:iCs/>
        </w:rPr>
        <w:t>Biotechnology and Bioengineering</w:t>
      </w:r>
      <w:r w:rsidRPr="00A6256D">
        <w:rPr>
          <w:rFonts w:ascii="Calibri"/>
        </w:rPr>
        <w:t xml:space="preserve"> 81 (7): 753–67. doi:10.1002/bit.10626.</w:t>
      </w:r>
    </w:p>
    <w:p w14:paraId="30197D84" w14:textId="77777777" w:rsidR="00A6256D" w:rsidRPr="00A6256D" w:rsidRDefault="00A6256D" w:rsidP="00A6256D">
      <w:pPr>
        <w:pStyle w:val="Bibliography"/>
        <w:rPr>
          <w:rFonts w:ascii="Calibri"/>
        </w:rPr>
      </w:pPr>
      <w:r w:rsidRPr="00A6256D">
        <w:rPr>
          <w:rFonts w:ascii="Calibri"/>
        </w:rPr>
        <w:t xml:space="preserve">Zhang, W., F. Li, and L. Nie. 2010. “Integrating Multiple ‘Omics’ Analysis for Microbial Biology: Application and Methodologies.” </w:t>
      </w:r>
      <w:r w:rsidRPr="00A6256D">
        <w:rPr>
          <w:rFonts w:ascii="Calibri"/>
          <w:i/>
          <w:iCs/>
        </w:rPr>
        <w:t>Microbiology</w:t>
      </w:r>
      <w:r w:rsidRPr="00A6256D">
        <w:rPr>
          <w:rFonts w:ascii="Calibri"/>
        </w:rPr>
        <w:t xml:space="preserve"> 156 (2): 287–301. doi:10.1099/mic.0.034793-0.</w:t>
      </w:r>
    </w:p>
    <w:p w14:paraId="4932E739" w14:textId="4BEC7175"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A6256D" w:rsidRDefault="00A6256D" w:rsidP="00522EEC">
      <w:r>
        <w:separator/>
      </w:r>
    </w:p>
  </w:endnote>
  <w:endnote w:type="continuationSeparator" w:id="0">
    <w:p w14:paraId="5395B59D" w14:textId="77777777" w:rsidR="00A6256D" w:rsidRDefault="00A6256D"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6256D" w:rsidRDefault="00A6256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6256D" w:rsidRDefault="00A6256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6256D" w:rsidRDefault="00A6256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305">
      <w:rPr>
        <w:rStyle w:val="PageNumber"/>
        <w:noProof/>
      </w:rPr>
      <w:t>1</w:t>
    </w:r>
    <w:r>
      <w:rPr>
        <w:rStyle w:val="PageNumber"/>
      </w:rPr>
      <w:fldChar w:fldCharType="end"/>
    </w:r>
  </w:p>
  <w:p w14:paraId="7B2AAECF" w14:textId="77777777" w:rsidR="00A6256D" w:rsidRDefault="00A6256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A6256D" w:rsidRDefault="00A6256D" w:rsidP="00522EEC">
      <w:r>
        <w:separator/>
      </w:r>
    </w:p>
  </w:footnote>
  <w:footnote w:type="continuationSeparator" w:id="0">
    <w:p w14:paraId="455F0858" w14:textId="77777777" w:rsidR="00A6256D" w:rsidRDefault="00A6256D"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5837"/>
    <w:rsid w:val="00095A90"/>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524AC"/>
    <w:rsid w:val="00162DB1"/>
    <w:rsid w:val="00165313"/>
    <w:rsid w:val="00166861"/>
    <w:rsid w:val="001731D5"/>
    <w:rsid w:val="00175061"/>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7166C"/>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5A61"/>
    <w:rsid w:val="00326987"/>
    <w:rsid w:val="00330759"/>
    <w:rsid w:val="0033252D"/>
    <w:rsid w:val="00345DA5"/>
    <w:rsid w:val="00346136"/>
    <w:rsid w:val="0035006B"/>
    <w:rsid w:val="00350671"/>
    <w:rsid w:val="00356F8E"/>
    <w:rsid w:val="00360CF7"/>
    <w:rsid w:val="003641BC"/>
    <w:rsid w:val="00365D66"/>
    <w:rsid w:val="0036669B"/>
    <w:rsid w:val="00370076"/>
    <w:rsid w:val="0037039B"/>
    <w:rsid w:val="00373658"/>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334F7"/>
    <w:rsid w:val="00435168"/>
    <w:rsid w:val="00440CAA"/>
    <w:rsid w:val="00445B9E"/>
    <w:rsid w:val="00445CF9"/>
    <w:rsid w:val="00452923"/>
    <w:rsid w:val="00453096"/>
    <w:rsid w:val="004571F0"/>
    <w:rsid w:val="00461799"/>
    <w:rsid w:val="00462887"/>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26C9C"/>
    <w:rsid w:val="0053050A"/>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6A99"/>
    <w:rsid w:val="005A744D"/>
    <w:rsid w:val="005B15D1"/>
    <w:rsid w:val="005B3BAE"/>
    <w:rsid w:val="005B4126"/>
    <w:rsid w:val="005B5BAD"/>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C2B82"/>
    <w:rsid w:val="006D1FF6"/>
    <w:rsid w:val="006E0094"/>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4E47"/>
    <w:rsid w:val="007278D7"/>
    <w:rsid w:val="00735377"/>
    <w:rsid w:val="0073706D"/>
    <w:rsid w:val="00741675"/>
    <w:rsid w:val="00744E11"/>
    <w:rsid w:val="00745B4F"/>
    <w:rsid w:val="00747CA9"/>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63A4"/>
    <w:rsid w:val="00870504"/>
    <w:rsid w:val="00873A97"/>
    <w:rsid w:val="008761D9"/>
    <w:rsid w:val="0087643A"/>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FDB"/>
    <w:rsid w:val="009C2A94"/>
    <w:rsid w:val="009C4341"/>
    <w:rsid w:val="009C62AF"/>
    <w:rsid w:val="009C6843"/>
    <w:rsid w:val="009C7933"/>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71DB1"/>
    <w:rsid w:val="00A722EF"/>
    <w:rsid w:val="00AA105F"/>
    <w:rsid w:val="00AA2477"/>
    <w:rsid w:val="00AA3348"/>
    <w:rsid w:val="00AA36DC"/>
    <w:rsid w:val="00AA421C"/>
    <w:rsid w:val="00AB4581"/>
    <w:rsid w:val="00AC02FC"/>
    <w:rsid w:val="00AC1149"/>
    <w:rsid w:val="00AC3AF2"/>
    <w:rsid w:val="00AD1EDC"/>
    <w:rsid w:val="00AE1031"/>
    <w:rsid w:val="00AE3110"/>
    <w:rsid w:val="00AE3578"/>
    <w:rsid w:val="00AE4741"/>
    <w:rsid w:val="00AF14DB"/>
    <w:rsid w:val="00AF37CE"/>
    <w:rsid w:val="00AF5D57"/>
    <w:rsid w:val="00B002D1"/>
    <w:rsid w:val="00B02341"/>
    <w:rsid w:val="00B027CF"/>
    <w:rsid w:val="00B03A80"/>
    <w:rsid w:val="00B05A2C"/>
    <w:rsid w:val="00B05F7E"/>
    <w:rsid w:val="00B11E7E"/>
    <w:rsid w:val="00B1235E"/>
    <w:rsid w:val="00B2041C"/>
    <w:rsid w:val="00B22AA1"/>
    <w:rsid w:val="00B241AC"/>
    <w:rsid w:val="00B261F8"/>
    <w:rsid w:val="00B27658"/>
    <w:rsid w:val="00B31756"/>
    <w:rsid w:val="00B45BFA"/>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E15CA"/>
    <w:rsid w:val="00BE48B5"/>
    <w:rsid w:val="00BE537C"/>
    <w:rsid w:val="00BF1D55"/>
    <w:rsid w:val="00BF53F6"/>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90590"/>
    <w:rsid w:val="00C93C2F"/>
    <w:rsid w:val="00C9740B"/>
    <w:rsid w:val="00C97B91"/>
    <w:rsid w:val="00CA028F"/>
    <w:rsid w:val="00CA5118"/>
    <w:rsid w:val="00CB10D2"/>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1480"/>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2788"/>
    <w:rsid w:val="00DC54D6"/>
    <w:rsid w:val="00DC6C5E"/>
    <w:rsid w:val="00DD2DF5"/>
    <w:rsid w:val="00DD62E5"/>
    <w:rsid w:val="00DE280D"/>
    <w:rsid w:val="00DE3A91"/>
    <w:rsid w:val="00DF2F68"/>
    <w:rsid w:val="00E03271"/>
    <w:rsid w:val="00E053FD"/>
    <w:rsid w:val="00E062E9"/>
    <w:rsid w:val="00E077A7"/>
    <w:rsid w:val="00E07902"/>
    <w:rsid w:val="00E20DE1"/>
    <w:rsid w:val="00E271BC"/>
    <w:rsid w:val="00E36838"/>
    <w:rsid w:val="00E41A2F"/>
    <w:rsid w:val="00E44657"/>
    <w:rsid w:val="00E50529"/>
    <w:rsid w:val="00E5463A"/>
    <w:rsid w:val="00E547FB"/>
    <w:rsid w:val="00E565FB"/>
    <w:rsid w:val="00E566B9"/>
    <w:rsid w:val="00E800BD"/>
    <w:rsid w:val="00E82863"/>
    <w:rsid w:val="00E84CB6"/>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E1837"/>
    <w:rsid w:val="00EE21D8"/>
    <w:rsid w:val="00EE2FF9"/>
    <w:rsid w:val="00EE517F"/>
    <w:rsid w:val="00EE5C0C"/>
    <w:rsid w:val="00EE6EDD"/>
    <w:rsid w:val="00F01109"/>
    <w:rsid w:val="00F01F0B"/>
    <w:rsid w:val="00F052B6"/>
    <w:rsid w:val="00F074D6"/>
    <w:rsid w:val="00F21570"/>
    <w:rsid w:val="00F344FC"/>
    <w:rsid w:val="00F3535E"/>
    <w:rsid w:val="00F425EA"/>
    <w:rsid w:val="00F51155"/>
    <w:rsid w:val="00F549FD"/>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D1C5-188D-6F40-9E52-0B25DB42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21334</Words>
  <Characters>121604</Characters>
  <Application>Microsoft Macintosh Word</Application>
  <DocSecurity>0</DocSecurity>
  <Lines>1013</Lines>
  <Paragraphs>285</Paragraphs>
  <ScaleCrop>false</ScaleCrop>
  <Company>ut austin</Company>
  <LinksUpToDate>false</LinksUpToDate>
  <CharactersWithSpaces>142653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111</cp:revision>
  <dcterms:created xsi:type="dcterms:W3CDTF">2016-01-06T19:03:00Z</dcterms:created>
  <dcterms:modified xsi:type="dcterms:W3CDTF">2016-04-19T19:08:00Z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id="rReOZeQG"/&gt;&lt;style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