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0944C8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w:t>
      </w:r>
      <w:r w:rsidR="006E2FA6" w:rsidRPr="006E2FA6">
        <w:rPr>
          <w:i/>
        </w:rPr>
        <w:t>in-vivo</w:t>
      </w:r>
      <w:r w:rsidR="006E2FA6">
        <w:t xml:space="preserve"> metabolic </w:t>
      </w:r>
      <w:r w:rsidR="0059249D">
        <w:t>flux</w:t>
      </w:r>
      <w:r w:rsidR="006E2FA6">
        <w:t>es</w:t>
      </w:r>
      <w:r w:rsidR="0059249D">
        <w:t xml:space="preserve"> through the central </w:t>
      </w:r>
      <w:r w:rsidR="006E2FA6">
        <w:t xml:space="preserve">carbon </w:t>
      </w:r>
      <w:r w:rsidR="0059249D">
        <w:t>metabolism.</w:t>
      </w:r>
      <w:r w:rsidR="0059249D" w:rsidRPr="0059249D">
        <w:t xml:space="preserve"> </w:t>
      </w:r>
      <w:r w:rsidRPr="009E1177">
        <w:t>We manipulate concentrations of sodium and magnesium</w:t>
      </w:r>
      <w:r w:rsidR="0083665D">
        <w:t xml:space="preserve"> in the growth media</w:t>
      </w:r>
      <w:r w:rsidR="00F16271">
        <w:t xml:space="preserve">, and we consider four </w:t>
      </w:r>
      <w:r w:rsidRPr="009E1177">
        <w:t>different carbon sources glucose, gluconate, lactate, and glycerol. Moreover, samples are tak</w:t>
      </w:r>
      <w:bookmarkStart w:id="0" w:name="_GoBack"/>
      <w:bookmarkEnd w:id="0"/>
      <w:r w:rsidRPr="009E1177">
        <w:t xml:space="preserve">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1" w:name="ZOTERO_BREF_SEh32slhUEgt"/>
      <w:bookmarkEnd w:id="1"/>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0B7E3289"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03657954"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8D433F" w:rsidRPr="00640049">
        <w:rPr>
          <w:vertAlign w:val="superscript"/>
        </w:rPr>
        <w:t>+</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504DD119" w:rsidR="00372924" w:rsidRDefault="00AA45EE" w:rsidP="006F70EB">
      <w:pPr>
        <w:rPr>
          <w:i/>
        </w:rPr>
      </w:pPr>
      <w:r w:rsidRPr="003F413A">
        <w:t xml:space="preserve">Finally, we measured </w:t>
      </w:r>
      <w:r w:rsidR="00920522" w:rsidRPr="00E40F98">
        <w:t>doubling times</w:t>
      </w:r>
      <w:r w:rsidR="00920522">
        <w:t xml:space="preserve"> </w:t>
      </w:r>
      <w:r w:rsidRPr="003F413A">
        <w:t>in exponential phase for all experimental conditions</w:t>
      </w:r>
      <w:r w:rsidR="00E40F98">
        <w:t xml:space="preserve"> </w:t>
      </w:r>
      <w:r w:rsidR="00E40F98" w:rsidRPr="00E40F98">
        <w:t>(</w:t>
      </w:r>
      <w:r w:rsidR="00807393" w:rsidRPr="00E40F98">
        <w:t>Supplementary Table S5</w:t>
      </w:r>
      <w:r w:rsidR="00E40F98" w:rsidRPr="00E40F98">
        <w:t>)</w:t>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5BF7146D"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D2577E">
        <w:rPr>
          <w:rFonts w:eastAsiaTheme="minorEastAsia" w:cstheme="minorBidi"/>
          <w:b w:val="0"/>
          <w:bCs w:val="0"/>
          <w:color w:val="auto"/>
        </w:rPr>
        <w:t>In general, b</w:t>
      </w:r>
      <w:r w:rsidRPr="006175E9">
        <w:rPr>
          <w:rFonts w:eastAsiaTheme="minorEastAsia" w:cstheme="minorBidi"/>
          <w:b w:val="0"/>
          <w:bCs w:val="0"/>
          <w:color w:val="auto"/>
        </w:rPr>
        <w:t>atch effects may represent fluctuations in incubator temperatures, slight differences in growth medium compositi</w:t>
      </w:r>
      <w:r w:rsidR="00D2577E">
        <w:rPr>
          <w:rFonts w:eastAsiaTheme="minorEastAsia" w:cstheme="minorBidi"/>
          <w:b w:val="0"/>
          <w:bCs w:val="0"/>
          <w:color w:val="auto"/>
        </w:rPr>
        <w:t xml:space="preserve">on or water quality, </w:t>
      </w:r>
      <w:r w:rsidRPr="006175E9">
        <w:rPr>
          <w:rFonts w:eastAsiaTheme="minorEastAsia" w:cstheme="minorBidi"/>
          <w:b w:val="0"/>
          <w:bCs w:val="0"/>
          <w:color w:val="auto"/>
        </w:rPr>
        <w:t xml:space="preserve">effects of reviving the initial inoculum of cells, </w:t>
      </w:r>
      <w:r w:rsidR="00D2577E">
        <w:rPr>
          <w:rFonts w:eastAsiaTheme="minorEastAsia" w:cstheme="minorBidi"/>
          <w:b w:val="0"/>
          <w:bCs w:val="0"/>
          <w:color w:val="auto"/>
        </w:rPr>
        <w:t xml:space="preserve">or effects of sample preparation and analysis, </w:t>
      </w:r>
      <w:r w:rsidRPr="006175E9">
        <w:rPr>
          <w:rFonts w:eastAsiaTheme="minorEastAsia" w:cstheme="minorBidi"/>
          <w:b w:val="0"/>
          <w:bCs w:val="0"/>
          <w:color w:val="auto"/>
        </w:rPr>
        <w:t>among other possibilities.</w:t>
      </w:r>
      <w:r w:rsidR="00D2577E">
        <w:rPr>
          <w:rFonts w:eastAsiaTheme="minorEastAsia" w:cstheme="minorBidi"/>
          <w:b w:val="0"/>
          <w:bCs w:val="0"/>
          <w:color w:val="auto"/>
        </w:rPr>
        <w:t xml:space="preserve"> Here, since batch effects were so pronounced in the proteomics data and not in the mRNA data, we suspect that they were primarily caused by proteomics sample preparation and analysis.</w:t>
      </w:r>
    </w:p>
    <w:p w14:paraId="392AF618" w14:textId="60DAA3A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E40F98">
        <w:rPr>
          <w:rFonts w:ascii="Calibri" w:eastAsia="Times New Roman" w:hAnsi="Calibri" w:cs="Times New Roman"/>
        </w:rPr>
        <w:t>Supplementary T</w:t>
      </w:r>
      <w:r w:rsidR="00AF1437" w:rsidRPr="00E40F98">
        <w:rPr>
          <w:rFonts w:ascii="Calibri" w:eastAsia="Times New Roman" w:hAnsi="Calibri" w:cs="Times New Roman"/>
        </w:rPr>
        <w:t xml:space="preserve">able </w:t>
      </w:r>
      <w:r w:rsidR="0024202A" w:rsidRPr="00E40F98">
        <w:rPr>
          <w:rFonts w:ascii="Calibri" w:eastAsia="Times New Roman" w:hAnsi="Calibri" w:cs="Times New Roman"/>
        </w:rPr>
        <w:t>S6, S7</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561205F0" w:rsidR="00B527E2" w:rsidRDefault="00E271BC" w:rsidP="00B527E2">
      <w:pPr>
        <w:rPr>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92732F">
        <w:rPr>
          <w:color w:val="000000" w:themeColor="text1"/>
        </w:rPr>
        <w:instrText xml:space="preserve"> ADDIN ZOTERO_ITEM CSL_CITATION {"citationID":"s6tl9km0j","properties":{"formattedCitation":"{\\rtf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0CEBD5DE" w14:textId="77777777" w:rsidR="00C138CF" w:rsidRPr="00B527E2" w:rsidRDefault="00C138CF" w:rsidP="00B527E2">
      <w:pPr>
        <w:rPr>
          <w:rFonts w:ascii="Times New Roman" w:eastAsia="Times New Roman" w:hAnsi="Times New Roman" w:cs="Times New Roman"/>
        </w:rPr>
      </w:pPr>
    </w:p>
    <w:p w14:paraId="15506C59" w14:textId="4008EBB7"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24202A">
        <w:rPr>
          <w:color w:val="000000" w:themeColor="text1"/>
        </w:rPr>
        <w:t>(</w:t>
      </w:r>
      <w:r w:rsidR="0024202A" w:rsidRPr="00E40F98">
        <w:rPr>
          <w:color w:val="000000" w:themeColor="text1"/>
        </w:rPr>
        <w:t>Supplementary Table S8</w:t>
      </w:r>
      <w:r w:rsidR="00181355" w:rsidRPr="00181355">
        <w:rPr>
          <w:color w:val="000000" w:themeColor="text1"/>
        </w:rPr>
        <w:t>)</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21D52C8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24202A">
        <w:rPr>
          <w:color w:val="000000" w:themeColor="text1"/>
        </w:rPr>
        <w:t>(</w:t>
      </w:r>
      <w:r w:rsidR="0024202A" w:rsidRPr="00E40F98">
        <w:rPr>
          <w:color w:val="000000" w:themeColor="text1"/>
        </w:rPr>
        <w:t>Supplementary Table S9</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0F40E735"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24202A" w:rsidRPr="00E40F98">
        <w:t>Supplementary Table S10</w:t>
      </w:r>
      <w:r w:rsidR="00327F79">
        <w:t>)</w:t>
      </w:r>
      <w:r w:rsidR="00667D70" w:rsidRPr="001477BA">
        <w:t>. We use</w:t>
      </w:r>
      <w:r w:rsidR="00BB7F6B">
        <w:t>d</w:t>
      </w:r>
      <w:r w:rsidR="00667D70" w:rsidRPr="001477BA">
        <w:t xml:space="preserv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66EC50E6"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55AA7D0"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E40F98">
        <w:rPr>
          <w:color w:val="000000" w:themeColor="text1"/>
        </w:rPr>
        <w:t>S</w:t>
      </w:r>
      <w:r w:rsidR="00B52C5E" w:rsidRPr="00E40F98">
        <w:rPr>
          <w:color w:val="000000" w:themeColor="text1"/>
        </w:rPr>
        <w:t xml:space="preserve">upplementary Table </w:t>
      </w:r>
      <w:r w:rsidR="00CD652A" w:rsidRPr="00E40F98">
        <w:rPr>
          <w:color w:val="000000" w:themeColor="text1"/>
        </w:rPr>
        <w:t>S</w:t>
      </w:r>
      <w:r w:rsidR="0024202A" w:rsidRPr="00E40F98">
        <w:rPr>
          <w:color w:val="000000" w:themeColor="text1"/>
        </w:rPr>
        <w:t>9</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xml:space="preserve">, </w:t>
      </w:r>
      <w:r w:rsidR="00CA2212" w:rsidRPr="00E40F98">
        <w:t>Supplementary T</w:t>
      </w:r>
      <w:r w:rsidR="0024202A" w:rsidRPr="00E40F98">
        <w:t>able S11</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24202A">
        <w:t xml:space="preserve"> (</w:t>
      </w:r>
      <w:r w:rsidR="0024202A" w:rsidRPr="00E40F98">
        <w:t>Supplementary Table 12</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1669549F"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xml:space="preserve">, </w:t>
      </w:r>
      <w:r w:rsidR="00AD3658" w:rsidRPr="00E40F98">
        <w:t>Supplementary Table S</w:t>
      </w:r>
      <w:r w:rsidR="0024202A" w:rsidRPr="00E40F98">
        <w:t>13</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E40F98">
        <w:t>Supplementary Table S</w:t>
      </w:r>
      <w:r w:rsidR="0024202A" w:rsidRPr="00E40F98">
        <w:t>13</w:t>
      </w:r>
      <w:r w:rsidR="00135710">
        <w:t>).</w:t>
      </w:r>
    </w:p>
    <w:p w14:paraId="3D6BA1A5" w14:textId="77777777" w:rsidR="00135710" w:rsidRDefault="00135710" w:rsidP="00077A08"/>
    <w:p w14:paraId="08E393F3" w14:textId="592A6B2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E40F98">
        <w:t>Supplementary Table S</w:t>
      </w:r>
      <w:r w:rsidR="0024202A" w:rsidRPr="00E40F98">
        <w:t>14</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xml:space="preserve">, </w:t>
      </w:r>
      <w:r w:rsidR="00AD3658" w:rsidRPr="00E40F98">
        <w:t>Supplementary Table S</w:t>
      </w:r>
      <w:r w:rsidR="0024202A" w:rsidRPr="00E40F98">
        <w:t>14</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7E9B8E46" w14:textId="77777777" w:rsidR="00C624AE" w:rsidRDefault="00C624AE" w:rsidP="00C624AE"/>
    <w:p w14:paraId="776740E6" w14:textId="3EB7F3E7" w:rsidR="00B229C8" w:rsidRPr="00E40F98" w:rsidRDefault="00B229C8" w:rsidP="00B229C8">
      <w:r w:rsidRPr="00B229C8">
        <w:t>Our experimental approach was identical to the one used in our prior work on glucose starvation</w:t>
      </w:r>
      <w:r w:rsidRPr="00B229C8">
        <w:fldChar w:fldCharType="begin"/>
      </w:r>
      <w:r w:rsidRPr="00B229C8">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xml:space="preserve">. In particular, growth and harvesting of </w:t>
      </w:r>
      <w:r w:rsidRPr="00B229C8">
        <w:rPr>
          <w:i/>
        </w:rPr>
        <w:t>E. coli</w:t>
      </w:r>
      <w:r w:rsidRPr="00B229C8">
        <w:t xml:space="preserve"> B REL606 cell pellets for the multiomic analysis was performed as previously described</w:t>
      </w:r>
      <w:r w:rsidRPr="00B229C8">
        <w:fldChar w:fldCharType="begin"/>
      </w:r>
      <w:r w:rsidRPr="00B229C8">
        <w:instrText xml:space="preserve"> ADDIN ZOTERO_ITEM CSL_CITATION {"citationID":"DVMXfmYf","properties":{"formattedCitation":"{\\rtf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Similarly, after sample collection, RNA-seq, mass-spec proteomics, and metabolic flux analysis were performed as previously described</w:t>
      </w:r>
      <w:r w:rsidRPr="00B229C8">
        <w:fldChar w:fldCharType="begin"/>
      </w:r>
      <w:r w:rsidRPr="00B229C8">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For completeness, we here reproduce our complete protocol.</w:t>
      </w:r>
    </w:p>
    <w:p w14:paraId="13AF457D" w14:textId="48BE6AD5" w:rsidR="00E40F98" w:rsidRPr="00E40F98" w:rsidRDefault="00B229C8" w:rsidP="00E40F98">
      <w:pPr>
        <w:pStyle w:val="Heading3"/>
      </w:pPr>
      <w:r w:rsidRPr="00B229C8">
        <w:t>Cell Growth</w:t>
      </w:r>
    </w:p>
    <w:p w14:paraId="4EFEF691" w14:textId="77777777" w:rsidR="00B229C8" w:rsidRDefault="00B229C8" w:rsidP="00E40F98">
      <w:r w:rsidRPr="00B229C8">
        <w:rPr>
          <w:i/>
          <w:iCs/>
        </w:rPr>
        <w:t xml:space="preserve">E. coli </w:t>
      </w:r>
      <w:r w:rsidRPr="00B229C8">
        <w:rPr>
          <w:iCs/>
        </w:rPr>
        <w:t>B REL606</w:t>
      </w:r>
      <w:r w:rsidRPr="00B229C8">
        <w:t xml:space="preserve"> was inoculated from a freezer stock into 10 ml of Davis Minimal medium supplemented with 2 μg/l thiamine (DM)</w:t>
      </w:r>
      <w:r w:rsidRPr="00B229C8">
        <w:fldChar w:fldCharType="begin"/>
      </w:r>
      <w:r w:rsidRPr="00B229C8">
        <w:instrText xml:space="preserve"> ADDIN ZOTERO_ITEM CSL_CITATION {"citationID":"kjdj5auh","properties":{"formattedCitation":"{\\rtf \\super 36\\nosupersub{}}","plainCitation":"36"},"citationItems":[{"id":221,"uris":["http://zotero.org/users/2021925/items/RINJDRB7"],"uri":["http://zotero.org/users/2021925/items/RINJDRB7"],"itemData":{"id":221,"type":"article-journal","title":"Long-Term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C."}],"issued":{"date-parts":[["1991",12,1]]}},"locator":"-"}],"schema":"https://github.com/citation-style-language/schema/raw/master/csl-citation.json"} </w:instrText>
      </w:r>
      <w:r w:rsidRPr="00B229C8">
        <w:fldChar w:fldCharType="separate"/>
      </w:r>
      <w:r w:rsidRPr="00B229C8">
        <w:rPr>
          <w:rFonts w:ascii="Calibri" w:eastAsia="Times New Roman" w:cs="Times New Roman"/>
          <w:vertAlign w:val="superscript"/>
        </w:rPr>
        <w:t>36</w:t>
      </w:r>
      <w:r w:rsidRPr="00B229C8">
        <w:fldChar w:fldCharType="end"/>
      </w:r>
      <w:r w:rsidRPr="00B229C8">
        <w:t xml:space="preserve"> and limiting glucose at 500 mg/l (DM500) in a 50 ml Erlenmeyer flask. This culture was incubated at 37°C with 120 r.p.m. orbital shaking over a diameter of 1". After overnight growth, 500 µl of the culture was diluted into 50 ml of prewarmed DM500 in a 250 ml flask and grown for an additional 24 h under the same conditions. On the day of the experiment, 500 μl of this preconditioned culture was added to ten 250 ml flasks, each containing 50 ml DM500, to initiate the experiment.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B229C8">
        <w:rPr>
          <w:vertAlign w:val="superscript"/>
        </w:rPr>
        <w:t>13</w:t>
      </w:r>
      <w:r w:rsidRPr="00B229C8">
        <w:t>C] glucose.</w:t>
      </w:r>
      <w:r>
        <w:t xml:space="preserve"> </w:t>
      </w:r>
    </w:p>
    <w:p w14:paraId="4AE4A657" w14:textId="6230D391" w:rsidR="006E46BD" w:rsidRPr="00B229C8" w:rsidRDefault="006E46BD" w:rsidP="006E46BD">
      <w:pPr>
        <w:rPr>
          <w:color w:val="943634" w:themeColor="accent2" w:themeShade="BF"/>
        </w:rPr>
      </w:pPr>
      <w:r>
        <w:t>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w:t>
      </w:r>
      <w:r w:rsidR="00150E4D">
        <w:t>ed</w:t>
      </w:r>
      <w:r>
        <w:t xml:space="preserve"> 20-24 hours after the corresponding exponential sample. The exact sampling times for each condition are provided in Supplementary Table S1.</w:t>
      </w:r>
    </w:p>
    <w:p w14:paraId="6AECB0FA" w14:textId="77777777" w:rsidR="00FE78EA" w:rsidRDefault="00FE78EA" w:rsidP="00F64495"/>
    <w:p w14:paraId="556A0933" w14:textId="3214BCF6" w:rsidR="00E40F98" w:rsidRDefault="00B229C8" w:rsidP="00F64495">
      <w:r w:rsidRPr="00B229C8">
        <w:t>For OD</w:t>
      </w:r>
      <w:r w:rsidRPr="00B229C8">
        <w:rPr>
          <w:vertAlign w:val="subscript"/>
        </w:rPr>
        <w:t>600</w:t>
      </w:r>
      <w:r w:rsidRPr="00B229C8">
        <w:t xml:space="preserve"> measurements, cultures were grown separately from the main batches used for harvesting cells but under identical conditions. The OD</w:t>
      </w:r>
      <w:r w:rsidRPr="00B229C8">
        <w:rPr>
          <w:vertAlign w:val="subscript"/>
        </w:rPr>
        <w:t>600</w:t>
      </w:r>
      <w:r w:rsidRPr="00B229C8">
        <w:t xml:space="preserve"> (absorbance at 600 nm) of a sample removed from the culture at each time point was measured relative to a sterile DM500 glucose blank. </w:t>
      </w:r>
      <w:r w:rsidR="00FE78EA">
        <w:t xml:space="preserve">Doubling times were </w:t>
      </w:r>
      <w:r w:rsidR="00FD59F1">
        <w:t xml:space="preserve">estimated </w:t>
      </w:r>
      <w:r w:rsidR="00900ACB">
        <w:t>from</w:t>
      </w:r>
      <w:r w:rsidR="00FD59F1">
        <w:t xml:space="preserve"> </w:t>
      </w:r>
      <w:r w:rsidRPr="00B229C8">
        <w:t>these</w:t>
      </w:r>
      <w:r>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46097B2A" w14:textId="4C154C16" w:rsidR="00E40F98" w:rsidRPr="00E40F98" w:rsidRDefault="00B229C8" w:rsidP="00E40F98">
      <w:pPr>
        <w:pStyle w:val="Heading3"/>
      </w:pPr>
      <w:r w:rsidRPr="00B229C8">
        <w:t>RNA-seq</w:t>
      </w:r>
    </w:p>
    <w:p w14:paraId="5AD29163" w14:textId="0A7424AB" w:rsidR="00B229C8" w:rsidRPr="00B229C8" w:rsidRDefault="00B229C8" w:rsidP="00E40F98">
      <w:r w:rsidRPr="00B229C8">
        <w:t>Total RNA was isolated from cell pellets using the RNAsnap method</w:t>
      </w:r>
      <w:r w:rsidRPr="00B229C8">
        <w:fldChar w:fldCharType="begin"/>
      </w:r>
      <w:r w:rsidRPr="00B229C8">
        <w:instrText xml:space="preserve"> ADDIN ZOTERO_ITEM CSL_CITATION {"citationID":"abrpkpl9j","properties":{"formattedCitation":"{\\rtf \\super 37\\nosupersub{}}","plainCitation":"37"},"citationItems":[{"id":254,"uris":["http://zotero.org/users/2021925/items/UETKFXEM"],"uri":["http://zotero.org/users/2021925/items/UETKFXEM"],"itemData":{"id":254,"type":"article-journal","title":"RNAsnap™: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w:instrText>
      </w:r>
      <w:r w:rsidRPr="00B229C8">
        <w:rPr>
          <w:rFonts w:ascii="MS Mincho" w:eastAsia="MS Mincho" w:hAnsi="MS Mincho" w:cs="MS Mincho"/>
        </w:rPr>
        <w:instrText>∼</w:instrText>
      </w:r>
      <w:r w:rsidRPr="00B229C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Pr="00B229C8">
        <w:rPr>
          <w:rFonts w:ascii="MS Mincho" w:eastAsia="MS Mincho" w:hAnsi="MS Mincho" w:cs="MS Mincho"/>
        </w:rPr>
        <w:instrText>∼</w:instrText>
      </w:r>
      <w:r w:rsidRPr="00B229C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R."}],"issued":{"date-parts":[["2012",11,1]]}}}],"schema":"https://github.com/citation-style-language/schema/raw/master/csl-citation.json"} </w:instrText>
      </w:r>
      <w:r w:rsidRPr="00B229C8">
        <w:fldChar w:fldCharType="separate"/>
      </w:r>
      <w:r w:rsidRPr="00B229C8">
        <w:rPr>
          <w:rFonts w:ascii="Calibri" w:eastAsia="Times New Roman" w:cs="Times New Roman"/>
          <w:vertAlign w:val="superscript"/>
        </w:rPr>
        <w:t>37</w:t>
      </w:r>
      <w:r w:rsidRPr="00B229C8">
        <w:fldChar w:fldCharType="end"/>
      </w:r>
      <w:r w:rsidRPr="00B229C8">
        <w:t>. After extraction, RNA was ethanol precipitated and resuspended in 100 µl H</w:t>
      </w:r>
      <w:r w:rsidRPr="00B229C8">
        <w:rPr>
          <w:vertAlign w:val="subscript"/>
        </w:rPr>
        <w:t>2</w:t>
      </w:r>
      <w:r w:rsidRPr="00B229C8">
        <w:t xml:space="preserve">O. Each sample was then DNase treated and purified using the on-column method for the Zymo Clean &amp; Concentrator-25 (Zymo Research). RNA concentrations were determined throughout the purification </w:t>
      </w:r>
      <w:r w:rsidR="00150E4D">
        <w:t xml:space="preserve">procedure </w:t>
      </w:r>
      <w:r w:rsidRPr="00B229C8">
        <w:t>using a Qubit 2.0 fluorometer (Life Technologies). DNase-treated total RNA (≤5 µg) was then processed with the Gram-negative bacteria RiboZero rRNA removal kit (Epicentre). After rRNA depletion, each sample was ethanol precipitated and resuspended in H</w:t>
      </w:r>
      <w:r w:rsidRPr="00B229C8">
        <w:rPr>
          <w:vertAlign w:val="subscript"/>
        </w:rPr>
        <w:t>2</w:t>
      </w:r>
      <w:r w:rsidRPr="00B229C8">
        <w:t xml:space="preserve">O again. A fraction of the RNA was then fragmented to ~250 bp using </w:t>
      </w:r>
      <w:r w:rsidR="00150E4D">
        <w:t xml:space="preserve">the </w:t>
      </w:r>
      <w:r w:rsidRPr="00B229C8">
        <w:t xml:space="preserve">NEBNext Magnesium RNA Fragmentation Module (New England Biolabs). After fragmentation, RNA was ethanol precipitated, resuspended in 20 µl </w:t>
      </w:r>
      <w:r w:rsidR="00150E4D" w:rsidRPr="00B229C8">
        <w:t>H</w:t>
      </w:r>
      <w:r w:rsidR="00150E4D" w:rsidRPr="00B229C8">
        <w:rPr>
          <w:vertAlign w:val="subscript"/>
        </w:rPr>
        <w:t>2</w:t>
      </w:r>
      <w:r w:rsidR="00150E4D" w:rsidRPr="00B229C8">
        <w:t>O</w:t>
      </w:r>
      <w:r w:rsidRPr="00B229C8">
        <w:t xml:space="preserve">, and phosphorylated using T4 </w:t>
      </w:r>
      <w:r w:rsidR="00B30B75">
        <w:t>polynucleotide kinase</w:t>
      </w:r>
      <w:r w:rsidR="00B30B75" w:rsidRPr="00B229C8">
        <w:t xml:space="preserve"> </w:t>
      </w:r>
      <w:r w:rsidRPr="00B229C8">
        <w:t xml:space="preserve">(New England Biolabs). After another ethanol precipitation cleanup step, sequencing library preparation was performed using the </w:t>
      </w:r>
      <w:r w:rsidR="00156C2B" w:rsidRPr="00B229C8">
        <w:t xml:space="preserve">Multiplex Compatible </w:t>
      </w:r>
      <w:r w:rsidRPr="00B229C8">
        <w:t>NEBNext Small RNA Library Pre</w:t>
      </w:r>
      <w:r w:rsidR="00156C2B">
        <w:t>p</w:t>
      </w:r>
      <w:r w:rsidRPr="00B229C8">
        <w:t xml:space="preserve"> Set for Illumina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5B207082" w14:textId="77777777" w:rsidR="00B229C8" w:rsidRPr="00B229C8" w:rsidRDefault="00B229C8" w:rsidP="00B229C8">
      <w:pPr>
        <w:rPr>
          <w:color w:val="943634" w:themeColor="accent2" w:themeShade="BF"/>
        </w:rPr>
      </w:pPr>
    </w:p>
    <w:p w14:paraId="54CA49DC" w14:textId="641D5042" w:rsidR="00B229C8" w:rsidRPr="00E40F98" w:rsidRDefault="00B229C8" w:rsidP="00B229C8">
      <w:r w:rsidRPr="00B229C8">
        <w:t xml:space="preserve">For RNA-seq analysis, we implemented a custom analysis pipeline using the REL606 </w:t>
      </w:r>
      <w:r w:rsidRPr="00B229C8">
        <w:rPr>
          <w:i/>
        </w:rPr>
        <w:t>Escherichia coli</w:t>
      </w:r>
      <w:r w:rsidRPr="00B229C8">
        <w:t xml:space="preserve"> B genome (GenBank:NC_012967.1) as the reference sequence</w:t>
      </w:r>
      <w:r w:rsidRPr="00B229C8">
        <w:fldChar w:fldCharType="begin"/>
      </w:r>
      <w:r w:rsidRPr="00B229C8">
        <w:instrText xml:space="preserve"> ADDIN ZOTERO_ITEM CSL_CITATION {"citationID":"145ebmbo0u","properties":{"formattedCitation":"{\\rtf \\super 38\\nosupersub{}}","plainCitation":"38"},"citationItems":[{"id":80,"uris":["http://zotero.org/users/2021925/items/AWXN6SF9"],"uri":["http://zotero.org/users/2021925/items/AWXN6SF9"],"itemData":{"id":80,"type":"article-journal","title":"Genome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B229C8">
        <w:rPr>
          <w:rFonts w:ascii="MS Mincho" w:eastAsia="MS Mincho" w:hAnsi="MS Mincho" w:cs="MS Mincho"/>
        </w:rPr>
        <w:instrText>∼</w:instrText>
      </w:r>
      <w:r w:rsidRPr="00B229C8">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F."}],"issued":{"date-parts":[["2009",12,11]]}}}],"schema":"https://github.com/citation-style-language/schema/raw/master/csl-citation.json"} </w:instrText>
      </w:r>
      <w:r w:rsidRPr="00B229C8">
        <w:fldChar w:fldCharType="separate"/>
      </w:r>
      <w:r w:rsidRPr="00B229C8">
        <w:rPr>
          <w:rFonts w:ascii="Calibri" w:eastAsia="Times New Roman" w:cs="Times New Roman"/>
          <w:vertAlign w:val="superscript"/>
        </w:rPr>
        <w:t>38</w:t>
      </w:r>
      <w:r w:rsidRPr="00B229C8">
        <w:fldChar w:fldCharType="end"/>
      </w:r>
      <w:r w:rsidRPr="00B229C8">
        <w:t>. We updated annotations of sRNAs in this genome sequence using the Rfam 11.0 database</w:t>
      </w:r>
      <w:r w:rsidRPr="00B229C8">
        <w:fldChar w:fldCharType="begin"/>
      </w:r>
      <w:r w:rsidRPr="00B229C8">
        <w:instrText xml:space="preserve"> ADDIN ZOTERO_ITEM CSL_CITATION {"citationID":"K52tvtmp","properties":{"formattedCitation":"{\\rtf \\super 39\\nosupersub{}}","plainCitation":"39"},"citationItems":[{"id":55,"uris":["http://zotero.org/users/2021925/items/92PP8PPC"],"uri":["http://zotero.org/users/2021925/items/92PP8PPC"],"itemData":{"id":55,"type":"article-journal","title":"Rfam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P."},{"family":"Bateman","given":"Alex"}],"issued":{"date-parts":[["2013",1]]}}}],"schema":"https://github.com/citation-style-language/schema/raw/master/csl-citation.json"} </w:instrText>
      </w:r>
      <w:r w:rsidRPr="00B229C8">
        <w:fldChar w:fldCharType="separate"/>
      </w:r>
      <w:r w:rsidRPr="00B229C8">
        <w:rPr>
          <w:rFonts w:ascii="Calibri" w:eastAsia="Times New Roman" w:cs="Times New Roman"/>
          <w:vertAlign w:val="superscript"/>
        </w:rPr>
        <w:t>39</w:t>
      </w:r>
      <w:r w:rsidRPr="00B229C8">
        <w:fldChar w:fldCharType="end"/>
      </w:r>
      <w:r w:rsidRPr="00B229C8">
        <w:t>. Prior to mapping, we trimmed adapter sequences from Illumina reads using Flexbar 2.31</w:t>
      </w:r>
      <w:r w:rsidRPr="00B229C8">
        <w:fldChar w:fldCharType="begin"/>
      </w:r>
      <w:r w:rsidRPr="00B229C8">
        <w:instrText xml:space="preserve"> ADDIN ZOTERO_ITEM CSL_CITATION {"citationID":"18ifua9lst","properties":{"formattedCitation":"{\\rtf \\super 40\\nosupersub{}}","plainCitation":"40"},"citationItems":[{"id":67,"uris":["http://zotero.org/users/2021925/items/9JP5NPQE"],"uri":["http://zotero.org/users/2021925/items/9JP5NPQE"],"itemData":{"id":67,"type":"article-journal","title":"FLEXBAR—Flexible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B229C8">
        <w:fldChar w:fldCharType="separate"/>
      </w:r>
      <w:r w:rsidRPr="00B229C8">
        <w:rPr>
          <w:rFonts w:ascii="Calibri" w:eastAsia="Times New Roman" w:cs="Times New Roman"/>
          <w:vertAlign w:val="superscript"/>
        </w:rPr>
        <w:t>40</w:t>
      </w:r>
      <w:r w:rsidRPr="00B229C8">
        <w:fldChar w:fldCharType="end"/>
      </w:r>
      <w:r w:rsidRPr="00B229C8">
        <w:t>. Mapping was carried out in single-end mode using Bowtie2 2</w:t>
      </w:r>
      <w:r w:rsidR="008F16E7">
        <w:t>.2.5</w:t>
      </w:r>
      <w:r w:rsidRPr="00B229C8">
        <w:t xml:space="preserve"> with the –k 1 option to achieve one unique mapping location per read</w:t>
      </w:r>
      <w:r w:rsidRPr="00B229C8">
        <w:fldChar w:fldCharType="begin"/>
      </w:r>
      <w:r w:rsidRPr="00B229C8">
        <w:instrText xml:space="preserve"> ADDIN ZOTERO_ITEM CSL_CITATION {"citationID":"1r7vcf14tl","properties":{"formattedCitation":"{\\rtf \\super 41\\nosupersub{}}","plainCitation":"41"},"citationItems":[{"id":249,"uris":["http://zotero.org/users/2021925/items/TXR7E8SQ"],"uri":["http://zotero.org/users/2021925/items/TXR7E8SQ"],"itemData":{"id":249,"type":"article-journal","title":"Fast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L."}],"issued":{"date-parts":[["2012",4]]}}}],"schema":"https://github.com/citation-style-language/schema/raw/master/csl-citation.json"} </w:instrText>
      </w:r>
      <w:r w:rsidRPr="00B229C8">
        <w:fldChar w:fldCharType="separate"/>
      </w:r>
      <w:r w:rsidRPr="00B229C8">
        <w:rPr>
          <w:rFonts w:ascii="Calibri" w:eastAsia="Times New Roman" w:cs="Times New Roman"/>
          <w:vertAlign w:val="superscript"/>
        </w:rPr>
        <w:t>41</w:t>
      </w:r>
      <w:r w:rsidRPr="00B229C8">
        <w:fldChar w:fldCharType="end"/>
      </w:r>
      <w:r w:rsidRPr="00B229C8">
        <w:t>. The raw number of reads mapping to each gene were counted using HTSeq 0.6.0</w:t>
      </w:r>
      <w:r w:rsidRPr="00B229C8">
        <w:fldChar w:fldCharType="begin"/>
      </w:r>
      <w:r w:rsidRPr="00B229C8">
        <w:instrText xml:space="preserve"> ADDIN ZOTERO_ITEM CSL_CITATION {"citationID":"59n15kv0q","properties":{"formattedCitation":"{\\rtf \\super 42\\nosupersub{}}","plainCitation":"42"},"citationItems":[{"id":97,"uris":["http://zotero.org/users/2021925/items/CC4GQIHH"],"uri":["http://zotero.org/users/2021925/items/CC4GQIHH"],"itemData":{"id":97,"type":"report","title":"HTSeq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B229C8">
        <w:fldChar w:fldCharType="separate"/>
      </w:r>
      <w:r w:rsidRPr="00B229C8">
        <w:rPr>
          <w:rFonts w:ascii="Calibri" w:eastAsia="Times New Roman" w:cs="Times New Roman"/>
          <w:vertAlign w:val="superscript"/>
        </w:rPr>
        <w:t>42</w:t>
      </w:r>
      <w:r w:rsidRPr="00B229C8">
        <w:fldChar w:fldCharType="end"/>
      </w:r>
      <w:r w:rsidRPr="00B229C8">
        <w:t xml:space="preserve">. Exact details for the full computational pipeline are available at </w:t>
      </w:r>
      <w:hyperlink r:id="rId12" w:history="1">
        <w:r w:rsidR="00E55715" w:rsidRPr="006A7DC6">
          <w:rPr>
            <w:rStyle w:val="Hyperlink"/>
          </w:rPr>
          <w:t>https://github.com/marcottelab/AG3C_starvation_tc</w:t>
        </w:r>
      </w:hyperlink>
      <w:r w:rsidR="00E55715">
        <w:t xml:space="preserve"> </w:t>
      </w:r>
    </w:p>
    <w:p w14:paraId="74C6E148" w14:textId="6814D89B" w:rsidR="00E40F98" w:rsidRPr="00E40F98" w:rsidRDefault="00B229C8" w:rsidP="00E40F98">
      <w:pPr>
        <w:pStyle w:val="Heading3"/>
      </w:pPr>
      <w:r w:rsidRPr="00B229C8">
        <w:t>Proteomics</w:t>
      </w:r>
    </w:p>
    <w:p w14:paraId="2B1436ED" w14:textId="24AF5DDC" w:rsidR="00B229C8" w:rsidRPr="00B229C8" w:rsidRDefault="00B229C8" w:rsidP="00E40F98">
      <w:r w:rsidRPr="00B229C8">
        <w:rPr>
          <w:i/>
        </w:rPr>
        <w:t>E. coli</w:t>
      </w:r>
      <w:r w:rsidRPr="00B229C8">
        <w:t xml:space="preserve"> cell pellets were resuspended in 50 mM Tris-HCl pH 8.0, 10 mM DTT.  2,2,2-trifluoroethanol (Sigma) was added to 50% (v/v) final concentration and samples were incubated at 56°C for 45 min. Following incubation, iodoacetamide was added to a concentration of 25 mM and samples were incubated at room temperature in the dark for 30 min. Samples were diluted 10-fold with 2 mM CaCl</w:t>
      </w:r>
      <w:r w:rsidRPr="00B229C8">
        <w:rPr>
          <w:vertAlign w:val="subscript"/>
        </w:rPr>
        <w:t>2</w:t>
      </w:r>
      <w:r w:rsidRPr="00B229C8">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p>
    <w:p w14:paraId="418BE442" w14:textId="77777777" w:rsidR="00B229C8" w:rsidRPr="00B229C8" w:rsidRDefault="00B229C8" w:rsidP="00B229C8">
      <w:pPr>
        <w:rPr>
          <w:color w:val="943634" w:themeColor="accent2" w:themeShade="BF"/>
        </w:rPr>
      </w:pPr>
    </w:p>
    <w:p w14:paraId="2EC0A0BA" w14:textId="77777777" w:rsidR="00B229C8" w:rsidRPr="00B229C8" w:rsidRDefault="00B229C8" w:rsidP="00E40F98">
      <w:r w:rsidRPr="00B229C8">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resolution.  Monoisotopic precursor selection and charge-state screening were enabled, with ions of charge &gt;+1 selected for collision-induced dissociation (CID).  Up to 20 fragmentation scans (MS2) were collected per MS1. Dynamic exclusion was active with 45 s exclusion for ions selected twice within a 30 s window.</w:t>
      </w:r>
    </w:p>
    <w:p w14:paraId="2EE2D6DD" w14:textId="77777777" w:rsidR="00B229C8" w:rsidRPr="00B229C8" w:rsidRDefault="00B229C8" w:rsidP="00B229C8">
      <w:pPr>
        <w:rPr>
          <w:color w:val="943634" w:themeColor="accent2" w:themeShade="BF"/>
        </w:rPr>
      </w:pPr>
    </w:p>
    <w:p w14:paraId="3D70B508" w14:textId="3F179FD2" w:rsidR="00B229C8" w:rsidRPr="00E40F98" w:rsidRDefault="00B229C8" w:rsidP="00B229C8">
      <w:r w:rsidRPr="00B229C8">
        <w:t xml:space="preserve">Spectra were searched against an </w:t>
      </w:r>
      <w:r w:rsidRPr="00B229C8">
        <w:rPr>
          <w:i/>
        </w:rPr>
        <w:t>E. coli</w:t>
      </w:r>
      <w:r w:rsidRPr="00B229C8">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 </w:t>
      </w:r>
    </w:p>
    <w:p w14:paraId="0CBD7DFF" w14:textId="02C6B2BD" w:rsidR="00E40F98" w:rsidRPr="00E40F98" w:rsidRDefault="00B229C8" w:rsidP="00E40F98">
      <w:pPr>
        <w:pStyle w:val="Heading3"/>
      </w:pPr>
      <w:r w:rsidRPr="00B229C8">
        <w:t>Flux analysis</w:t>
      </w:r>
    </w:p>
    <w:p w14:paraId="054471E1" w14:textId="77777777" w:rsidR="00B229C8" w:rsidRPr="00B229C8" w:rsidRDefault="00B229C8" w:rsidP="00E40F98">
      <w:r w:rsidRPr="00B229C8">
        <w:t xml:space="preserve">Flux ratios were obtained from the samples grown with </w:t>
      </w:r>
      <w:r w:rsidRPr="00B229C8">
        <w:rPr>
          <w:vertAlign w:val="superscript"/>
        </w:rPr>
        <w:t>13</w:t>
      </w:r>
      <w:r w:rsidRPr="00B229C8">
        <w:t>C labeled glucose, using methods previously described</w:t>
      </w:r>
      <w:r w:rsidRPr="00B229C8">
        <w:fldChar w:fldCharType="begin"/>
      </w:r>
      <w:r w:rsidRPr="00B229C8">
        <w:instrText xml:space="preserve"> ADDIN ZOTERO_ITEM CSL_CITATION {"citationID":"4accooe95","properties":{"formattedCitation":"{\\rtf \\super 43,44\\nosupersub{}}","plainCitation":"43,44"},"citationItems":[{"id":282,"uris":["http://zotero.org/users/2021925/items/XIHQGWQJ"],"uri":["http://zotero.org/users/2021925/items/XIHQGWQJ"],"itemData":{"id":282,"type":"article-journal","title":"The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Pr="00B229C8">
        <w:fldChar w:fldCharType="separate"/>
      </w:r>
      <w:r w:rsidRPr="00B229C8">
        <w:rPr>
          <w:rFonts w:ascii="Calibri" w:eastAsia="Times New Roman" w:cs="Times New Roman"/>
          <w:vertAlign w:val="superscript"/>
        </w:rPr>
        <w:t>43,44</w:t>
      </w:r>
      <w:r w:rsidRPr="00B229C8">
        <w:fldChar w:fldCharType="end"/>
      </w:r>
      <w:r w:rsidRPr="00B229C8">
        <w:t xml:space="preserve">. Cell pellets were resuspended in 200 ml of 6 N HCl, hydrolyzed at 105°C overnight, and dried at 95°C for up to 24 h. To the hydrolyzed cell material we added 40 ml of dimethylformamide (DMF) and gently mixed until a “light straw” color was obtained. The DMF resuspension was transferred to a GC-MS vial with plastic insert and 40 ml of </w:t>
      </w:r>
      <w:r w:rsidRPr="00B229C8">
        <w:rPr>
          <w:i/>
        </w:rPr>
        <w:t>N</w:t>
      </w:r>
      <w:r w:rsidRPr="00B229C8">
        <w:t>-</w:t>
      </w:r>
      <w:r w:rsidRPr="00B229C8">
        <w:rPr>
          <w:i/>
        </w:rPr>
        <w:t>tert</w:t>
      </w:r>
      <w:r w:rsidRPr="00B229C8">
        <w:t>-butyldimethylsilyl-</w:t>
      </w:r>
      <w:r w:rsidRPr="00B229C8">
        <w:rPr>
          <w:i/>
        </w:rPr>
        <w:t>N</w:t>
      </w:r>
      <w:r w:rsidRPr="00B229C8">
        <w:t xml:space="preserve">-methyltrifluoroacetamide with 1% </w:t>
      </w:r>
      <w:r w:rsidRPr="00B229C8">
        <w:rPr>
          <w:i/>
        </w:rPr>
        <w:t>tert</w:t>
      </w:r>
      <w:r w:rsidRPr="00B229C8">
        <w:t>-butyldimethyl-chlorosilane (v/v); vials were capped and baked at 85°C for 2 h, and samples were analyzed within 2 days of derivitization.</w:t>
      </w:r>
    </w:p>
    <w:p w14:paraId="2DD17465" w14:textId="77777777" w:rsidR="00B229C8" w:rsidRPr="00B229C8" w:rsidRDefault="00B229C8" w:rsidP="00B229C8">
      <w:pPr>
        <w:rPr>
          <w:color w:val="943634" w:themeColor="accent2" w:themeShade="BF"/>
        </w:rPr>
      </w:pPr>
    </w:p>
    <w:p w14:paraId="7DD8F136" w14:textId="78E40F4D" w:rsidR="00B229C8" w:rsidRPr="00F64495" w:rsidRDefault="00B229C8" w:rsidP="00F64495">
      <w:bookmarkStart w:id="2" w:name="__UnoMark__1847_580114490"/>
      <w:bookmarkStart w:id="3" w:name="ZOTERO_BREF_J4OWhgrsoVwG"/>
      <w:bookmarkEnd w:id="2"/>
      <w:bookmarkEnd w:id="3"/>
      <w:r w:rsidRPr="00B229C8">
        <w:t xml:space="preserve">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 Flux inference was performed using the </w:t>
      </w:r>
      <w:r w:rsidR="00A739CB">
        <w:t>F</w:t>
      </w:r>
      <w:r w:rsidRPr="00B229C8">
        <w:t>iat</w:t>
      </w:r>
      <w:r w:rsidR="00A739CB">
        <w:t>F</w:t>
      </w:r>
      <w:r w:rsidRPr="00B229C8">
        <w:t>lux software</w:t>
      </w:r>
      <w:r w:rsidRPr="00B229C8">
        <w:fldChar w:fldCharType="begin"/>
      </w:r>
      <w:r w:rsidRPr="00B229C8">
        <w:instrText xml:space="preserve"> ADDIN ZOTERO_ITEM CSL_CITATION {"citationID":"oh5T9AVN","properties":{"formattedCitation":"{\\rtf \\super 35,44\\nosupersub{}}","plainCitation":"35,44"},"citationItems":[{"id":90,"uris":["http://zotero.org/users/local/nzbyWFEW/items/5GATQQ8A"],"uri":["http://zotero.org/users/local/nzbyWFEW/items/5GATQQ8A"],"itemData":{"id":90,"type":"article-journal","title":"(13)C-based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Pr="00B229C8">
        <w:fldChar w:fldCharType="separate"/>
      </w:r>
      <w:r w:rsidRPr="00B229C8">
        <w:rPr>
          <w:rFonts w:ascii="Calibri" w:eastAsia="Times New Roman" w:cs="Times New Roman"/>
          <w:vertAlign w:val="superscript"/>
        </w:rPr>
        <w:t>35,44</w:t>
      </w:r>
      <w:r w:rsidRPr="00B229C8">
        <w:fldChar w:fldCharType="end"/>
      </w:r>
      <w:r w:rsidRPr="00B229C8">
        <w:t>.</w:t>
      </w:r>
    </w:p>
    <w:p w14:paraId="5C975668" w14:textId="1BC3BCE0" w:rsidR="00E40F98" w:rsidRPr="00E40F98" w:rsidRDefault="007277AE" w:rsidP="00E40F98">
      <w:pPr>
        <w:pStyle w:val="Heading3"/>
      </w:pPr>
      <w:r>
        <w:t>Normalization and quality control of RNA and protein counts</w:t>
      </w:r>
    </w:p>
    <w:p w14:paraId="43BA17C3" w14:textId="0DF64C59"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that overlapped annotate</w:t>
      </w:r>
      <w:r w:rsidR="00E40F98">
        <w:t>d protein coding genes, i.e., reads mapping to mRNAs</w:t>
      </w:r>
      <w:r w:rsidR="00C826DA">
        <w:t xml:space="preserve">. </w:t>
      </w:r>
      <w:r w:rsidR="00E40F98">
        <w:t xml:space="preserve">This resulted in </w:t>
      </w:r>
      <w:r w:rsidR="00E40F98" w:rsidRPr="00484BFE">
        <w:t>4196</w:t>
      </w:r>
      <w:r w:rsidR="00E40F98">
        <w:t xml:space="preserve"> matching mRNA and protein counts for each sample.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369533" w14:textId="3F31AA67" w:rsidR="00AB5C64"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4946E001" w14:textId="16ECC0DB" w:rsidR="00D30269" w:rsidRDefault="00D30269" w:rsidP="00E40F98">
      <w:pPr>
        <w:pStyle w:val="Heading3"/>
      </w:pPr>
      <w:r>
        <w:t>Clustering</w:t>
      </w:r>
    </w:p>
    <w:p w14:paraId="367C601C" w14:textId="25370732"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92732F">
        <w:instrText xml:space="preserve"> ADDIN ZOTERO_ITEM CSL_CITATION {"citationID":"m6lpoahjo","properties":{"formattedCitation":"{\\rtf \\super 45\\nosupersub{}}","plainCitation":"45"},"citationItems":[{"id":290,"uris":["http://zotero.org/users/local/FOPKHRFW/items/MP7IKCPR"],"uri":["http://zotero.org/users/local/FOPKHRFW/items/MP7IKCPR"],"itemData":{"id":290,"type":"article-journal","title":"Fast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92732F" w:rsidRPr="0092732F">
        <w:rPr>
          <w:rFonts w:ascii="Calibri" w:eastAsia="Times New Roman" w:cs="Times New Roman"/>
          <w:vertAlign w:val="superscript"/>
        </w:rPr>
        <w:t>45</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92732F">
        <w:instrText xml:space="preserve"> ADDIN ZOTERO_ITEM CSL_CITATION {"citationID":"e18bd0172","properties":{"formattedCitation":"{\\rtf \\super 46\\nosupersub{}}","plainCitation":"46"},"citationItems":[{"id":285,"uris":["http://zotero.org/users/local/FOPKHRFW/items/VEADB9MK"],"uri":["http://zotero.org/users/local/FOPKHRFW/items/VEADB9MK"],"itemData":{"id":285,"type":"article-journal","title":"An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92732F" w:rsidRPr="0092732F">
        <w:rPr>
          <w:rFonts w:ascii="Calibri" w:eastAsia="Times New Roman" w:cs="Times New Roman"/>
          <w:vertAlign w:val="superscript"/>
        </w:rPr>
        <w:t>46</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31B9930D" w14:textId="6F6317C4" w:rsidR="00DD4E2A" w:rsidRPr="00DD4E2A" w:rsidRDefault="00DD4E2A" w:rsidP="00E40F98">
      <w:pPr>
        <w:pStyle w:val="Heading3"/>
      </w:pPr>
      <w:r>
        <w:t>Identifying differentially expressed genes</w:t>
      </w:r>
    </w:p>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54490E2" w14:textId="4793BF0D" w:rsidR="005346B9" w:rsidRDefault="005346B9" w:rsidP="00E40F98">
      <w:pPr>
        <w:pStyle w:val="Heading3"/>
      </w:pPr>
      <w:r>
        <w:t>Statistical analysis and data availability</w:t>
      </w:r>
    </w:p>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3" w:history="1">
        <w:r w:rsidR="00B1332D" w:rsidRPr="0098024D">
          <w:rPr>
            <w:rStyle w:val="Hyperlink"/>
          </w:rPr>
          <w:t>https://github.com/umutcaglar/ecoli_multiple_growth_conditions</w:t>
        </w:r>
      </w:hyperlink>
    </w:p>
    <w:p w14:paraId="3C8FCF43" w14:textId="30428E7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92732F">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47</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{"citationID":"2j1cuvgc1r","properties":{"formattedCitation":"{\\rtf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92732F">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48</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{"citationID":"E5hn6YE5","properties":{"formattedCitation":"{\\rtf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4" w:history="1">
        <w:r w:rsidR="00145160" w:rsidRPr="00D07869">
          <w:rPr>
            <w:rStyle w:val="Hyperlink"/>
          </w:rPr>
          <w:t>http://dx.doi.org/10.18738/T8/UG3TUR</w:t>
        </w:r>
      </w:hyperlink>
      <w:r w:rsidR="00112056" w:rsidRPr="0098024D">
        <w:t>.</w:t>
      </w:r>
    </w:p>
    <w:p w14:paraId="0A153183" w14:textId="77777777" w:rsidR="00E40F98" w:rsidRDefault="00E40F98" w:rsidP="00EA414B"/>
    <w:p w14:paraId="5F0E86DB" w14:textId="2D509A84" w:rsidR="00315216" w:rsidRPr="00315216" w:rsidRDefault="00315216" w:rsidP="00315216">
      <w:pPr>
        <w:pStyle w:val="Heading2"/>
      </w:pPr>
      <w:r>
        <w:t>References</w:t>
      </w:r>
    </w:p>
    <w:p w14:paraId="0CD35CB7" w14:textId="77777777" w:rsidR="0092732F" w:rsidRPr="0092732F" w:rsidRDefault="00FD014C" w:rsidP="0092732F">
      <w:pPr>
        <w:pStyle w:val="Bibliography"/>
        <w:rPr>
          <w:rFonts w:ascii="Calibri"/>
        </w:rPr>
      </w:pPr>
      <w:r>
        <w:fldChar w:fldCharType="begin"/>
      </w:r>
      <w:r w:rsidR="0092732F">
        <w:instrText xml:space="preserve"> ADDIN ZOTERO_BIBL {"custom":[]} CSL_BIBLIOGRAPHY </w:instrText>
      </w:r>
      <w:r>
        <w:fldChar w:fldCharType="separate"/>
      </w:r>
      <w:r w:rsidR="0092732F" w:rsidRPr="0092732F">
        <w:rPr>
          <w:rFonts w:ascii="Calibri"/>
        </w:rPr>
        <w:t>1.</w:t>
      </w:r>
      <w:r w:rsidR="0092732F" w:rsidRPr="0092732F">
        <w:rPr>
          <w:rFonts w:ascii="Calibri"/>
        </w:rPr>
        <w:tab/>
        <w:t xml:space="preserve">Botstein, D. &amp; Risch, N. Discovering genotypes underlying human phenotypes: past successes for mendelian disease, future approaches for complex disease. </w:t>
      </w:r>
      <w:r w:rsidR="0092732F" w:rsidRPr="0092732F">
        <w:rPr>
          <w:rFonts w:ascii="Calibri"/>
          <w:i/>
          <w:iCs/>
        </w:rPr>
        <w:t>Nat. Genet.</w:t>
      </w:r>
      <w:r w:rsidR="0092732F" w:rsidRPr="0092732F">
        <w:rPr>
          <w:rFonts w:ascii="Calibri"/>
        </w:rPr>
        <w:t xml:space="preserve"> </w:t>
      </w:r>
      <w:r w:rsidR="0092732F" w:rsidRPr="0092732F">
        <w:rPr>
          <w:rFonts w:ascii="Calibri"/>
          <w:b/>
          <w:bCs/>
        </w:rPr>
        <w:t>33,</w:t>
      </w:r>
      <w:r w:rsidR="0092732F" w:rsidRPr="0092732F">
        <w:rPr>
          <w:rFonts w:ascii="Calibri"/>
        </w:rPr>
        <w:t xml:space="preserve"> 228–237 (2003).</w:t>
      </w:r>
    </w:p>
    <w:p w14:paraId="23989C5E" w14:textId="77777777" w:rsidR="0092732F" w:rsidRPr="0092732F" w:rsidRDefault="0092732F" w:rsidP="0092732F">
      <w:pPr>
        <w:pStyle w:val="Bibliography"/>
        <w:rPr>
          <w:rFonts w:ascii="Calibri"/>
        </w:rPr>
      </w:pPr>
      <w:r w:rsidRPr="0092732F">
        <w:rPr>
          <w:rFonts w:ascii="Calibri"/>
        </w:rPr>
        <w:t>2.</w:t>
      </w:r>
      <w:r w:rsidRPr="0092732F">
        <w:rPr>
          <w:rFonts w:ascii="Calibri"/>
        </w:rPr>
        <w:tab/>
        <w:t xml:space="preserve">Zhang, W., Li, F. &amp; Nie, L. Integrating multiple ‘omics’ analysis for microbial biology: application and methodologies. </w:t>
      </w:r>
      <w:r w:rsidRPr="0092732F">
        <w:rPr>
          <w:rFonts w:ascii="Calibri"/>
          <w:i/>
          <w:iCs/>
        </w:rPr>
        <w:t>Microbiol. Read. Engl.</w:t>
      </w:r>
      <w:r w:rsidRPr="0092732F">
        <w:rPr>
          <w:rFonts w:ascii="Calibri"/>
        </w:rPr>
        <w:t xml:space="preserve"> </w:t>
      </w:r>
      <w:r w:rsidRPr="0092732F">
        <w:rPr>
          <w:rFonts w:ascii="Calibri"/>
          <w:b/>
          <w:bCs/>
        </w:rPr>
        <w:t>156,</w:t>
      </w:r>
      <w:r w:rsidRPr="0092732F">
        <w:rPr>
          <w:rFonts w:ascii="Calibri"/>
        </w:rPr>
        <w:t xml:space="preserve"> 287–301 (2010).</w:t>
      </w:r>
    </w:p>
    <w:p w14:paraId="30B38B5B" w14:textId="77777777" w:rsidR="0092732F" w:rsidRPr="0092732F" w:rsidRDefault="0092732F" w:rsidP="0092732F">
      <w:pPr>
        <w:pStyle w:val="Bibliography"/>
        <w:rPr>
          <w:rFonts w:ascii="Calibri"/>
        </w:rPr>
      </w:pPr>
      <w:r w:rsidRPr="0092732F">
        <w:rPr>
          <w:rFonts w:ascii="Calibri"/>
        </w:rPr>
        <w:t>3.</w:t>
      </w:r>
      <w:r w:rsidRPr="0092732F">
        <w:rPr>
          <w:rFonts w:ascii="Calibri"/>
        </w:rPr>
        <w:tab/>
        <w:t xml:space="preserve">Joyce, A. R. &amp; Palsson, B. Ø. The model organism as a system: integrating ‘omics’ data sets. </w:t>
      </w:r>
      <w:r w:rsidRPr="0092732F">
        <w:rPr>
          <w:rFonts w:ascii="Calibri"/>
          <w:i/>
          <w:iCs/>
        </w:rPr>
        <w:t>Nat. Rev. Mol. Cell Biol.</w:t>
      </w:r>
      <w:r w:rsidRPr="0092732F">
        <w:rPr>
          <w:rFonts w:ascii="Calibri"/>
        </w:rPr>
        <w:t xml:space="preserve"> </w:t>
      </w:r>
      <w:r w:rsidRPr="0092732F">
        <w:rPr>
          <w:rFonts w:ascii="Calibri"/>
          <w:b/>
          <w:bCs/>
        </w:rPr>
        <w:t>7,</w:t>
      </w:r>
      <w:r w:rsidRPr="0092732F">
        <w:rPr>
          <w:rFonts w:ascii="Calibri"/>
        </w:rPr>
        <w:t xml:space="preserve"> 198–210 (2006).</w:t>
      </w:r>
    </w:p>
    <w:p w14:paraId="72F5E74A" w14:textId="77777777" w:rsidR="0092732F" w:rsidRPr="0092732F" w:rsidRDefault="0092732F" w:rsidP="0092732F">
      <w:pPr>
        <w:pStyle w:val="Bibliography"/>
        <w:rPr>
          <w:rFonts w:ascii="Calibri"/>
        </w:rPr>
      </w:pPr>
      <w:r w:rsidRPr="0092732F">
        <w:rPr>
          <w:rFonts w:ascii="Calibri"/>
        </w:rPr>
        <w:t>4.</w:t>
      </w:r>
      <w:r w:rsidRPr="0092732F">
        <w:rPr>
          <w:rFonts w:ascii="Calibri"/>
        </w:rPr>
        <w:tab/>
        <w:t xml:space="preserve">Ideker, T. </w:t>
      </w:r>
      <w:r w:rsidRPr="0092732F">
        <w:rPr>
          <w:rFonts w:ascii="Calibri"/>
          <w:i/>
          <w:iCs/>
        </w:rPr>
        <w:t>et al.</w:t>
      </w:r>
      <w:r w:rsidRPr="0092732F">
        <w:rPr>
          <w:rFonts w:ascii="Calibri"/>
        </w:rPr>
        <w:t xml:space="preserve"> Integrated Genomic and Proteomic Analyses of a Systematically Perturbed Metabolic Network. </w:t>
      </w:r>
      <w:r w:rsidRPr="0092732F">
        <w:rPr>
          <w:rFonts w:ascii="Calibri"/>
          <w:i/>
          <w:iCs/>
        </w:rPr>
        <w:t>Science</w:t>
      </w:r>
      <w:r w:rsidRPr="0092732F">
        <w:rPr>
          <w:rFonts w:ascii="Calibri"/>
        </w:rPr>
        <w:t xml:space="preserve"> </w:t>
      </w:r>
      <w:r w:rsidRPr="0092732F">
        <w:rPr>
          <w:rFonts w:ascii="Calibri"/>
          <w:b/>
          <w:bCs/>
        </w:rPr>
        <w:t>292,</w:t>
      </w:r>
      <w:r w:rsidRPr="0092732F">
        <w:rPr>
          <w:rFonts w:ascii="Calibri"/>
        </w:rPr>
        <w:t xml:space="preserve"> 929–934 (2001).</w:t>
      </w:r>
    </w:p>
    <w:p w14:paraId="5EB6FBCA" w14:textId="77777777" w:rsidR="0092732F" w:rsidRPr="0092732F" w:rsidRDefault="0092732F" w:rsidP="0092732F">
      <w:pPr>
        <w:pStyle w:val="Bibliography"/>
        <w:rPr>
          <w:rFonts w:ascii="Calibri"/>
        </w:rPr>
      </w:pPr>
      <w:r w:rsidRPr="0092732F">
        <w:rPr>
          <w:rFonts w:ascii="Calibri"/>
        </w:rPr>
        <w:t>5.</w:t>
      </w:r>
      <w:r w:rsidRPr="0092732F">
        <w:rPr>
          <w:rFonts w:ascii="Calibri"/>
        </w:rPr>
        <w:tab/>
        <w:t xml:space="preserve">Vogel, C. &amp; Marcotte, E. M. Insights into the regulation of protein abundance from proteomic and transcriptomic analyses. </w:t>
      </w:r>
      <w:r w:rsidRPr="0092732F">
        <w:rPr>
          <w:rFonts w:ascii="Calibri"/>
          <w:i/>
          <w:iCs/>
        </w:rPr>
        <w:t>Nat. Rev. Genet.</w:t>
      </w:r>
      <w:r w:rsidRPr="0092732F">
        <w:rPr>
          <w:rFonts w:ascii="Calibri"/>
        </w:rPr>
        <w:t xml:space="preserve"> </w:t>
      </w:r>
      <w:r w:rsidRPr="0092732F">
        <w:rPr>
          <w:rFonts w:ascii="Calibri"/>
          <w:b/>
          <w:bCs/>
        </w:rPr>
        <w:t>13,</w:t>
      </w:r>
      <w:r w:rsidRPr="0092732F">
        <w:rPr>
          <w:rFonts w:ascii="Calibri"/>
        </w:rPr>
        <w:t xml:space="preserve"> 227–232 (2012).</w:t>
      </w:r>
    </w:p>
    <w:p w14:paraId="2CE6629B" w14:textId="77777777" w:rsidR="0092732F" w:rsidRPr="0092732F" w:rsidRDefault="0092732F" w:rsidP="0092732F">
      <w:pPr>
        <w:pStyle w:val="Bibliography"/>
        <w:rPr>
          <w:rFonts w:ascii="Calibri"/>
        </w:rPr>
      </w:pPr>
      <w:r w:rsidRPr="0092732F">
        <w:rPr>
          <w:rFonts w:ascii="Calibri"/>
        </w:rPr>
        <w:t>6.</w:t>
      </w:r>
      <w:r w:rsidRPr="0092732F">
        <w:rPr>
          <w:rFonts w:ascii="Calibri"/>
        </w:rPr>
        <w:tab/>
        <w:t xml:space="preserve">Lee, S. Y. High cell-density culture of Escherichia coli. </w:t>
      </w:r>
      <w:r w:rsidRPr="0092732F">
        <w:rPr>
          <w:rFonts w:ascii="Calibri"/>
          <w:i/>
          <w:iCs/>
        </w:rPr>
        <w:t>Trends Biotechnol.</w:t>
      </w:r>
      <w:r w:rsidRPr="0092732F">
        <w:rPr>
          <w:rFonts w:ascii="Calibri"/>
        </w:rPr>
        <w:t xml:space="preserve"> </w:t>
      </w:r>
      <w:r w:rsidRPr="0092732F">
        <w:rPr>
          <w:rFonts w:ascii="Calibri"/>
          <w:b/>
          <w:bCs/>
        </w:rPr>
        <w:t>14,</w:t>
      </w:r>
      <w:r w:rsidRPr="0092732F">
        <w:rPr>
          <w:rFonts w:ascii="Calibri"/>
        </w:rPr>
        <w:t xml:space="preserve"> 98–105 (1996).</w:t>
      </w:r>
    </w:p>
    <w:p w14:paraId="1D618F34" w14:textId="77777777" w:rsidR="0092732F" w:rsidRPr="0092732F" w:rsidRDefault="0092732F" w:rsidP="0092732F">
      <w:pPr>
        <w:pStyle w:val="Bibliography"/>
        <w:rPr>
          <w:rFonts w:ascii="Calibri"/>
        </w:rPr>
      </w:pPr>
      <w:r w:rsidRPr="0092732F">
        <w:rPr>
          <w:rFonts w:ascii="Calibri"/>
        </w:rPr>
        <w:t>7.</w:t>
      </w:r>
      <w:r w:rsidRPr="0092732F">
        <w:rPr>
          <w:rFonts w:ascii="Calibri"/>
        </w:rPr>
        <w:tab/>
        <w:t xml:space="preserve">Blattner, F. R. </w:t>
      </w:r>
      <w:r w:rsidRPr="0092732F">
        <w:rPr>
          <w:rFonts w:ascii="Calibri"/>
          <w:i/>
          <w:iCs/>
        </w:rPr>
        <w:t>et al.</w:t>
      </w:r>
      <w:r w:rsidRPr="0092732F">
        <w:rPr>
          <w:rFonts w:ascii="Calibri"/>
        </w:rPr>
        <w:t xml:space="preserve"> The Complete Genome Sequence of Escherichia coli K-12. </w:t>
      </w:r>
      <w:r w:rsidRPr="0092732F">
        <w:rPr>
          <w:rFonts w:ascii="Calibri"/>
          <w:i/>
          <w:iCs/>
        </w:rPr>
        <w:t>Science</w:t>
      </w:r>
      <w:r w:rsidRPr="0092732F">
        <w:rPr>
          <w:rFonts w:ascii="Calibri"/>
        </w:rPr>
        <w:t xml:space="preserve"> </w:t>
      </w:r>
      <w:r w:rsidRPr="0092732F">
        <w:rPr>
          <w:rFonts w:ascii="Calibri"/>
          <w:b/>
          <w:bCs/>
        </w:rPr>
        <w:t>277,</w:t>
      </w:r>
      <w:r w:rsidRPr="0092732F">
        <w:rPr>
          <w:rFonts w:ascii="Calibri"/>
        </w:rPr>
        <w:t xml:space="preserve"> 1453–1462 (1997).</w:t>
      </w:r>
    </w:p>
    <w:p w14:paraId="42BF8EE3" w14:textId="77777777" w:rsidR="0092732F" w:rsidRPr="0092732F" w:rsidRDefault="0092732F" w:rsidP="0092732F">
      <w:pPr>
        <w:pStyle w:val="Bibliography"/>
        <w:rPr>
          <w:rFonts w:ascii="Calibri"/>
        </w:rPr>
      </w:pPr>
      <w:r w:rsidRPr="0092732F">
        <w:rPr>
          <w:rFonts w:ascii="Calibri"/>
        </w:rPr>
        <w:t>8.</w:t>
      </w:r>
      <w:r w:rsidRPr="0092732F">
        <w:rPr>
          <w:rFonts w:ascii="Calibri"/>
        </w:rPr>
        <w:tab/>
        <w:t xml:space="preserve">Yoon, S. H., Han, M.-J., Lee, S. Y., Jeong, K. J. &amp; Yoo, J.-S. Combined transcriptome and proteome analysis of Escherichia coli during high cell density culture. </w:t>
      </w:r>
      <w:r w:rsidRPr="0092732F">
        <w:rPr>
          <w:rFonts w:ascii="Calibri"/>
          <w:i/>
          <w:iCs/>
        </w:rPr>
        <w:t>Biotechnol. Bioeng.</w:t>
      </w:r>
      <w:r w:rsidRPr="0092732F">
        <w:rPr>
          <w:rFonts w:ascii="Calibri"/>
        </w:rPr>
        <w:t xml:space="preserve"> </w:t>
      </w:r>
      <w:r w:rsidRPr="0092732F">
        <w:rPr>
          <w:rFonts w:ascii="Calibri"/>
          <w:b/>
          <w:bCs/>
        </w:rPr>
        <w:t>81,</w:t>
      </w:r>
      <w:r w:rsidRPr="0092732F">
        <w:rPr>
          <w:rFonts w:ascii="Calibri"/>
        </w:rPr>
        <w:t xml:space="preserve"> 753–767 (2003).</w:t>
      </w:r>
    </w:p>
    <w:p w14:paraId="49D981DE" w14:textId="77777777" w:rsidR="0092732F" w:rsidRPr="0092732F" w:rsidRDefault="0092732F" w:rsidP="0092732F">
      <w:pPr>
        <w:pStyle w:val="Bibliography"/>
        <w:rPr>
          <w:rFonts w:ascii="Calibri"/>
        </w:rPr>
      </w:pPr>
      <w:r w:rsidRPr="0092732F">
        <w:rPr>
          <w:rFonts w:ascii="Calibri"/>
        </w:rPr>
        <w:t>9.</w:t>
      </w:r>
      <w:r w:rsidRPr="0092732F">
        <w:rPr>
          <w:rFonts w:ascii="Calibri"/>
        </w:rPr>
        <w:tab/>
        <w:t xml:space="preserve">Gadgil, M., Kapur, V. &amp; Hu, W.-S. Transcriptional response of Escherichia coli to temperature shift. </w:t>
      </w:r>
      <w:r w:rsidRPr="0092732F">
        <w:rPr>
          <w:rFonts w:ascii="Calibri"/>
          <w:i/>
          <w:iCs/>
        </w:rPr>
        <w:t>Biotechnol. Prog.</w:t>
      </w:r>
      <w:r w:rsidRPr="0092732F">
        <w:rPr>
          <w:rFonts w:ascii="Calibri"/>
        </w:rPr>
        <w:t xml:space="preserve"> </w:t>
      </w:r>
      <w:r w:rsidRPr="0092732F">
        <w:rPr>
          <w:rFonts w:ascii="Calibri"/>
          <w:b/>
          <w:bCs/>
        </w:rPr>
        <w:t>21,</w:t>
      </w:r>
      <w:r w:rsidRPr="0092732F">
        <w:rPr>
          <w:rFonts w:ascii="Calibri"/>
        </w:rPr>
        <w:t xml:space="preserve"> 689–699 (2005).</w:t>
      </w:r>
    </w:p>
    <w:p w14:paraId="3857EE9A" w14:textId="77777777" w:rsidR="0092732F" w:rsidRPr="0092732F" w:rsidRDefault="0092732F" w:rsidP="0092732F">
      <w:pPr>
        <w:pStyle w:val="Bibliography"/>
        <w:rPr>
          <w:rFonts w:ascii="Calibri"/>
        </w:rPr>
      </w:pPr>
      <w:r w:rsidRPr="0092732F">
        <w:rPr>
          <w:rFonts w:ascii="Calibri"/>
        </w:rPr>
        <w:t>10.</w:t>
      </w:r>
      <w:r w:rsidRPr="0092732F">
        <w:rPr>
          <w:rFonts w:ascii="Calibri"/>
        </w:rPr>
        <w:tab/>
        <w:t xml:space="preserve">Houser, J. R. </w:t>
      </w:r>
      <w:r w:rsidRPr="0092732F">
        <w:rPr>
          <w:rFonts w:ascii="Calibri"/>
          <w:i/>
          <w:iCs/>
        </w:rPr>
        <w:t>et al.</w:t>
      </w:r>
      <w:r w:rsidRPr="0092732F">
        <w:rPr>
          <w:rFonts w:ascii="Calibri"/>
        </w:rPr>
        <w:t xml:space="preserve"> Controlled Measurement and Comparative Analysis of Cellular Components in E . coli Reveals Broad Regulatory Changes in Response to Glucose Starvation. </w:t>
      </w:r>
      <w:r w:rsidRPr="0092732F">
        <w:rPr>
          <w:rFonts w:ascii="Calibri"/>
          <w:i/>
          <w:iCs/>
        </w:rPr>
        <w:t>PLOS Comput Biol</w:t>
      </w:r>
      <w:r w:rsidRPr="0092732F">
        <w:rPr>
          <w:rFonts w:ascii="Calibri"/>
        </w:rPr>
        <w:t xml:space="preserve"> </w:t>
      </w:r>
      <w:r w:rsidRPr="0092732F">
        <w:rPr>
          <w:rFonts w:ascii="Calibri"/>
          <w:b/>
          <w:bCs/>
        </w:rPr>
        <w:t>11,</w:t>
      </w:r>
      <w:r w:rsidRPr="0092732F">
        <w:rPr>
          <w:rFonts w:ascii="Calibri"/>
        </w:rPr>
        <w:t xml:space="preserve"> e1004400 (2015).</w:t>
      </w:r>
    </w:p>
    <w:p w14:paraId="20695254" w14:textId="77777777" w:rsidR="0092732F" w:rsidRPr="0092732F" w:rsidRDefault="0092732F" w:rsidP="0092732F">
      <w:pPr>
        <w:pStyle w:val="Bibliography"/>
        <w:rPr>
          <w:rFonts w:ascii="Calibri"/>
        </w:rPr>
      </w:pPr>
      <w:r w:rsidRPr="0092732F">
        <w:rPr>
          <w:rFonts w:ascii="Calibri"/>
        </w:rPr>
        <w:t>11.</w:t>
      </w:r>
      <w:r w:rsidRPr="0092732F">
        <w:rPr>
          <w:rFonts w:ascii="Calibri"/>
        </w:rPr>
        <w:tab/>
        <w:t xml:space="preserve">Soufi, B., Krug, K., Harst, A. &amp; Macek, B. Characterization of the E. coli proteome and its modifications during growth and ethanol stress. </w:t>
      </w:r>
      <w:r w:rsidRPr="0092732F">
        <w:rPr>
          <w:rFonts w:ascii="Calibri"/>
          <w:i/>
          <w:iCs/>
        </w:rPr>
        <w:t>Front. Microbiol.</w:t>
      </w:r>
      <w:r w:rsidRPr="0092732F">
        <w:rPr>
          <w:rFonts w:ascii="Calibri"/>
        </w:rPr>
        <w:t xml:space="preserve"> </w:t>
      </w:r>
      <w:r w:rsidRPr="0092732F">
        <w:rPr>
          <w:rFonts w:ascii="Calibri"/>
          <w:b/>
          <w:bCs/>
        </w:rPr>
        <w:t>6,</w:t>
      </w:r>
      <w:r w:rsidRPr="0092732F">
        <w:rPr>
          <w:rFonts w:ascii="Calibri"/>
        </w:rPr>
        <w:t xml:space="preserve"> 103 (2015).</w:t>
      </w:r>
    </w:p>
    <w:p w14:paraId="038825D4" w14:textId="77777777" w:rsidR="0092732F" w:rsidRPr="0092732F" w:rsidRDefault="0092732F" w:rsidP="0092732F">
      <w:pPr>
        <w:pStyle w:val="Bibliography"/>
        <w:rPr>
          <w:rFonts w:ascii="Calibri"/>
        </w:rPr>
      </w:pPr>
      <w:r w:rsidRPr="0092732F">
        <w:rPr>
          <w:rFonts w:ascii="Calibri"/>
        </w:rPr>
        <w:t>12.</w:t>
      </w:r>
      <w:r w:rsidRPr="0092732F">
        <w:rPr>
          <w:rFonts w:ascii="Calibri"/>
        </w:rPr>
        <w:tab/>
        <w:t xml:space="preserve">Schmidt, A. </w:t>
      </w:r>
      <w:r w:rsidRPr="0092732F">
        <w:rPr>
          <w:rFonts w:ascii="Calibri"/>
          <w:i/>
          <w:iCs/>
        </w:rPr>
        <w:t>et al.</w:t>
      </w:r>
      <w:r w:rsidRPr="0092732F">
        <w:rPr>
          <w:rFonts w:ascii="Calibri"/>
        </w:rPr>
        <w:t xml:space="preserve"> The quantitative and condition-dependent Escherichia coli proteome. </w:t>
      </w:r>
      <w:r w:rsidRPr="0092732F">
        <w:rPr>
          <w:rFonts w:ascii="Calibri"/>
          <w:i/>
          <w:iCs/>
        </w:rPr>
        <w:t>Nat. Biotechnol.</w:t>
      </w:r>
      <w:r w:rsidRPr="0092732F">
        <w:rPr>
          <w:rFonts w:ascii="Calibri"/>
        </w:rPr>
        <w:t xml:space="preserve"> </w:t>
      </w:r>
      <w:r w:rsidRPr="0092732F">
        <w:rPr>
          <w:rFonts w:ascii="Calibri"/>
          <w:b/>
          <w:bCs/>
        </w:rPr>
        <w:t>34,</w:t>
      </w:r>
      <w:r w:rsidRPr="0092732F">
        <w:rPr>
          <w:rFonts w:ascii="Calibri"/>
        </w:rPr>
        <w:t xml:space="preserve"> 104–110 (2016).</w:t>
      </w:r>
    </w:p>
    <w:p w14:paraId="191FEA2B" w14:textId="77777777" w:rsidR="0092732F" w:rsidRPr="0092732F" w:rsidRDefault="0092732F" w:rsidP="0092732F">
      <w:pPr>
        <w:pStyle w:val="Bibliography"/>
        <w:rPr>
          <w:rFonts w:ascii="Calibri"/>
        </w:rPr>
      </w:pPr>
      <w:r w:rsidRPr="0092732F">
        <w:rPr>
          <w:rFonts w:ascii="Calibri"/>
        </w:rPr>
        <w:t>13.</w:t>
      </w:r>
      <w:r w:rsidRPr="0092732F">
        <w:rPr>
          <w:rFonts w:ascii="Calibri"/>
        </w:rPr>
        <w:tab/>
        <w:t xml:space="preserve">Lewis, N. E. </w:t>
      </w:r>
      <w:r w:rsidRPr="0092732F">
        <w:rPr>
          <w:rFonts w:ascii="Calibri"/>
          <w:i/>
          <w:iCs/>
        </w:rPr>
        <w:t>et al.</w:t>
      </w:r>
      <w:r w:rsidRPr="0092732F">
        <w:rPr>
          <w:rFonts w:ascii="Calibri"/>
        </w:rPr>
        <w:t xml:space="preserve"> Omic data from evolved E. coli are consistent with computed optimal growth from genome-scale models. </w:t>
      </w:r>
      <w:r w:rsidRPr="0092732F">
        <w:rPr>
          <w:rFonts w:ascii="Calibri"/>
          <w:i/>
          <w:iCs/>
        </w:rPr>
        <w:t>Mol. Syst. Biol.</w:t>
      </w:r>
      <w:r w:rsidRPr="0092732F">
        <w:rPr>
          <w:rFonts w:ascii="Calibri"/>
        </w:rPr>
        <w:t xml:space="preserve"> </w:t>
      </w:r>
      <w:r w:rsidRPr="0092732F">
        <w:rPr>
          <w:rFonts w:ascii="Calibri"/>
          <w:b/>
          <w:bCs/>
        </w:rPr>
        <w:t>6,</w:t>
      </w:r>
      <w:r w:rsidRPr="0092732F">
        <w:rPr>
          <w:rFonts w:ascii="Calibri"/>
        </w:rPr>
        <w:t xml:space="preserve"> 390 (2010).</w:t>
      </w:r>
    </w:p>
    <w:p w14:paraId="78673747" w14:textId="77777777" w:rsidR="0092732F" w:rsidRPr="0092732F" w:rsidRDefault="0092732F" w:rsidP="0092732F">
      <w:pPr>
        <w:pStyle w:val="Bibliography"/>
        <w:rPr>
          <w:rFonts w:ascii="Calibri"/>
        </w:rPr>
      </w:pPr>
      <w:r w:rsidRPr="0092732F">
        <w:rPr>
          <w:rFonts w:ascii="Calibri"/>
        </w:rPr>
        <w:t>14.</w:t>
      </w:r>
      <w:r w:rsidRPr="0092732F">
        <w:rPr>
          <w:rFonts w:ascii="Calibri"/>
        </w:rPr>
        <w:tab/>
        <w:t xml:space="preserve">Lewis, N. E., Cho, B.-K., Knight, E. M. &amp; Palsson, B. O. Gene Expression Profiling and the Use of Genome-Scale In Silico Models of Escherichia coli for Analysis: Providing Context for Content. </w:t>
      </w:r>
      <w:r w:rsidRPr="0092732F">
        <w:rPr>
          <w:rFonts w:ascii="Calibri"/>
          <w:i/>
          <w:iCs/>
        </w:rPr>
        <w:t>J. Bacteriol.</w:t>
      </w:r>
      <w:r w:rsidRPr="0092732F">
        <w:rPr>
          <w:rFonts w:ascii="Calibri"/>
        </w:rPr>
        <w:t xml:space="preserve"> </w:t>
      </w:r>
      <w:r w:rsidRPr="0092732F">
        <w:rPr>
          <w:rFonts w:ascii="Calibri"/>
          <w:b/>
          <w:bCs/>
        </w:rPr>
        <w:t>191,</w:t>
      </w:r>
      <w:r w:rsidRPr="0092732F">
        <w:rPr>
          <w:rFonts w:ascii="Calibri"/>
        </w:rPr>
        <w:t xml:space="preserve"> 3437–3444 (2009).</w:t>
      </w:r>
    </w:p>
    <w:p w14:paraId="2AC09FD2" w14:textId="77777777" w:rsidR="0092732F" w:rsidRPr="0092732F" w:rsidRDefault="0092732F" w:rsidP="0092732F">
      <w:pPr>
        <w:pStyle w:val="Bibliography"/>
        <w:rPr>
          <w:rFonts w:ascii="Calibri"/>
        </w:rPr>
      </w:pPr>
      <w:r w:rsidRPr="0092732F">
        <w:rPr>
          <w:rFonts w:ascii="Calibri"/>
        </w:rPr>
        <w:t>15.</w:t>
      </w:r>
      <w:r w:rsidRPr="0092732F">
        <w:rPr>
          <w:rFonts w:ascii="Calibri"/>
        </w:rPr>
        <w:tab/>
        <w:t xml:space="preserve">Gan, G., Ma, C. &amp; Wu, J. </w:t>
      </w:r>
      <w:r w:rsidRPr="0092732F">
        <w:rPr>
          <w:rFonts w:ascii="Calibri"/>
          <w:i/>
          <w:iCs/>
        </w:rPr>
        <w:t>Data Clustering: Theory, Algorithms, and Applications</w:t>
      </w:r>
      <w:r w:rsidRPr="0092732F">
        <w:rPr>
          <w:rFonts w:ascii="Calibri"/>
        </w:rPr>
        <w:t>. (SIAM, 2007).</w:t>
      </w:r>
    </w:p>
    <w:p w14:paraId="3AC00D09" w14:textId="77777777" w:rsidR="0092732F" w:rsidRPr="0092732F" w:rsidRDefault="0092732F" w:rsidP="0092732F">
      <w:pPr>
        <w:pStyle w:val="Bibliography"/>
        <w:rPr>
          <w:rFonts w:ascii="Calibri"/>
        </w:rPr>
      </w:pPr>
      <w:r w:rsidRPr="0092732F">
        <w:rPr>
          <w:rFonts w:ascii="Calibri"/>
        </w:rPr>
        <w:t>16.</w:t>
      </w:r>
      <w:r w:rsidRPr="0092732F">
        <w:rPr>
          <w:rFonts w:ascii="Calibri"/>
        </w:rPr>
        <w:tab/>
        <w:t xml:space="preserve">Sokal, R. R. &amp; Rohlf, F. J. The Comparison of Dendrograms by Objective Methods. </w:t>
      </w:r>
      <w:r w:rsidRPr="0092732F">
        <w:rPr>
          <w:rFonts w:ascii="Calibri"/>
          <w:i/>
          <w:iCs/>
        </w:rPr>
        <w:t>Taxon</w:t>
      </w:r>
      <w:r w:rsidRPr="0092732F">
        <w:rPr>
          <w:rFonts w:ascii="Calibri"/>
        </w:rPr>
        <w:t xml:space="preserve"> </w:t>
      </w:r>
      <w:r w:rsidRPr="0092732F">
        <w:rPr>
          <w:rFonts w:ascii="Calibri"/>
          <w:b/>
          <w:bCs/>
        </w:rPr>
        <w:t>11,</w:t>
      </w:r>
      <w:r w:rsidRPr="0092732F">
        <w:rPr>
          <w:rFonts w:ascii="Calibri"/>
        </w:rPr>
        <w:t xml:space="preserve"> 33–40 (1962).</w:t>
      </w:r>
    </w:p>
    <w:p w14:paraId="74C0F2A0" w14:textId="77777777" w:rsidR="0092732F" w:rsidRPr="0092732F" w:rsidRDefault="0092732F" w:rsidP="0092732F">
      <w:pPr>
        <w:pStyle w:val="Bibliography"/>
        <w:rPr>
          <w:rFonts w:ascii="Calibri"/>
        </w:rPr>
      </w:pPr>
      <w:r w:rsidRPr="0092732F">
        <w:rPr>
          <w:rFonts w:ascii="Calibri"/>
        </w:rPr>
        <w:t>17.</w:t>
      </w:r>
      <w:r w:rsidRPr="0092732F">
        <w:rPr>
          <w:rFonts w:ascii="Calibri"/>
        </w:rPr>
        <w:tab/>
        <w:t xml:space="preserve">Love, M. I., Huber, W. &amp; Anders, S. Moderated estimation of fold change and dispersion for RNA-seq data with DESeq2. </w:t>
      </w:r>
      <w:r w:rsidRPr="0092732F">
        <w:rPr>
          <w:rFonts w:ascii="Calibri"/>
          <w:i/>
          <w:iCs/>
        </w:rPr>
        <w:t>Genome Biol.</w:t>
      </w:r>
      <w:r w:rsidRPr="0092732F">
        <w:rPr>
          <w:rFonts w:ascii="Calibri"/>
        </w:rPr>
        <w:t xml:space="preserve"> </w:t>
      </w:r>
      <w:r w:rsidRPr="0092732F">
        <w:rPr>
          <w:rFonts w:ascii="Calibri"/>
          <w:b/>
          <w:bCs/>
        </w:rPr>
        <w:t>15,</w:t>
      </w:r>
      <w:r w:rsidRPr="0092732F">
        <w:rPr>
          <w:rFonts w:ascii="Calibri"/>
        </w:rPr>
        <w:t xml:space="preserve"> 550 (2014).</w:t>
      </w:r>
    </w:p>
    <w:p w14:paraId="2928D498" w14:textId="77777777" w:rsidR="0092732F" w:rsidRPr="0092732F" w:rsidRDefault="0092732F" w:rsidP="0092732F">
      <w:pPr>
        <w:pStyle w:val="Bibliography"/>
        <w:rPr>
          <w:rFonts w:ascii="Calibri"/>
        </w:rPr>
      </w:pPr>
      <w:r w:rsidRPr="0092732F">
        <w:rPr>
          <w:rFonts w:ascii="Calibri"/>
        </w:rPr>
        <w:t>18.</w:t>
      </w:r>
      <w:r w:rsidRPr="0092732F">
        <w:rPr>
          <w:rFonts w:ascii="Calibri"/>
        </w:rPr>
        <w:tab/>
        <w:t xml:space="preserve">Kanehisa, M. &amp; Goto, S. KEGG: Kyoto Encyclopedia of Genes and Genomes. </w:t>
      </w:r>
      <w:r w:rsidRPr="0092732F">
        <w:rPr>
          <w:rFonts w:ascii="Calibri"/>
          <w:i/>
          <w:iCs/>
        </w:rPr>
        <w:t>Nucleic Acids Res.</w:t>
      </w:r>
      <w:r w:rsidRPr="0092732F">
        <w:rPr>
          <w:rFonts w:ascii="Calibri"/>
        </w:rPr>
        <w:t xml:space="preserve"> </w:t>
      </w:r>
      <w:r w:rsidRPr="0092732F">
        <w:rPr>
          <w:rFonts w:ascii="Calibri"/>
          <w:b/>
          <w:bCs/>
        </w:rPr>
        <w:t>28,</w:t>
      </w:r>
      <w:r w:rsidRPr="0092732F">
        <w:rPr>
          <w:rFonts w:ascii="Calibri"/>
        </w:rPr>
        <w:t xml:space="preserve"> 27–30 (2000).</w:t>
      </w:r>
    </w:p>
    <w:p w14:paraId="1E70976C" w14:textId="77777777" w:rsidR="0092732F" w:rsidRPr="0092732F" w:rsidRDefault="0092732F" w:rsidP="0092732F">
      <w:pPr>
        <w:pStyle w:val="Bibliography"/>
        <w:rPr>
          <w:rFonts w:ascii="Calibri"/>
        </w:rPr>
      </w:pPr>
      <w:r w:rsidRPr="0092732F">
        <w:rPr>
          <w:rFonts w:ascii="Calibri"/>
        </w:rPr>
        <w:t>19.</w:t>
      </w:r>
      <w:r w:rsidRPr="0092732F">
        <w:rPr>
          <w:rFonts w:ascii="Calibri"/>
        </w:rPr>
        <w:tab/>
        <w:t xml:space="preserve">Ashburner, M. </w:t>
      </w:r>
      <w:r w:rsidRPr="0092732F">
        <w:rPr>
          <w:rFonts w:ascii="Calibri"/>
          <w:i/>
          <w:iCs/>
        </w:rPr>
        <w:t>et al.</w:t>
      </w:r>
      <w:r w:rsidRPr="0092732F">
        <w:rPr>
          <w:rFonts w:ascii="Calibri"/>
        </w:rPr>
        <w:t xml:space="preserve"> Gene Ontology: tool for the unification of biology. </w:t>
      </w:r>
      <w:r w:rsidRPr="0092732F">
        <w:rPr>
          <w:rFonts w:ascii="Calibri"/>
          <w:i/>
          <w:iCs/>
        </w:rPr>
        <w:t>Nat. Genet.</w:t>
      </w:r>
      <w:r w:rsidRPr="0092732F">
        <w:rPr>
          <w:rFonts w:ascii="Calibri"/>
        </w:rPr>
        <w:t xml:space="preserve"> </w:t>
      </w:r>
      <w:r w:rsidRPr="0092732F">
        <w:rPr>
          <w:rFonts w:ascii="Calibri"/>
          <w:b/>
          <w:bCs/>
        </w:rPr>
        <w:t>25,</w:t>
      </w:r>
      <w:r w:rsidRPr="0092732F">
        <w:rPr>
          <w:rFonts w:ascii="Calibri"/>
        </w:rPr>
        <w:t xml:space="preserve"> 25–29 (2000).</w:t>
      </w:r>
    </w:p>
    <w:p w14:paraId="606DD9A8" w14:textId="77777777" w:rsidR="0092732F" w:rsidRPr="0092732F" w:rsidRDefault="0092732F" w:rsidP="0092732F">
      <w:pPr>
        <w:pStyle w:val="Bibliography"/>
        <w:rPr>
          <w:rFonts w:ascii="Calibri"/>
        </w:rPr>
      </w:pPr>
      <w:r w:rsidRPr="0092732F">
        <w:rPr>
          <w:rFonts w:ascii="Calibri"/>
        </w:rPr>
        <w:t>20.</w:t>
      </w:r>
      <w:r w:rsidRPr="0092732F">
        <w:rPr>
          <w:rFonts w:ascii="Calibri"/>
        </w:rPr>
        <w:tab/>
        <w:t xml:space="preserve">Huang, D. W., Sherman, B. T. &amp; Lempicki, R. A. Systematic and integrative analysis of large gene lists using DAVID bioinformatics resources.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44–57 (2008).</w:t>
      </w:r>
    </w:p>
    <w:p w14:paraId="7143F08C" w14:textId="77777777" w:rsidR="0092732F" w:rsidRPr="0092732F" w:rsidRDefault="0092732F" w:rsidP="0092732F">
      <w:pPr>
        <w:pStyle w:val="Bibliography"/>
        <w:rPr>
          <w:rFonts w:ascii="Calibri"/>
        </w:rPr>
      </w:pPr>
      <w:r w:rsidRPr="0092732F">
        <w:rPr>
          <w:rFonts w:ascii="Calibri"/>
        </w:rPr>
        <w:t>21.</w:t>
      </w:r>
      <w:r w:rsidRPr="0092732F">
        <w:rPr>
          <w:rFonts w:ascii="Calibri"/>
        </w:rPr>
        <w:tab/>
        <w:t xml:space="preserve">Shi, W., Li, C., Louise, C. J. &amp; Adler, J. Mechanism of adverse conditions causing lack of flagella in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2236–2240 (1993).</w:t>
      </w:r>
    </w:p>
    <w:p w14:paraId="567027FD" w14:textId="77777777" w:rsidR="0092732F" w:rsidRPr="0092732F" w:rsidRDefault="0092732F" w:rsidP="0092732F">
      <w:pPr>
        <w:pStyle w:val="Bibliography"/>
        <w:rPr>
          <w:rFonts w:ascii="Calibri"/>
        </w:rPr>
      </w:pPr>
      <w:r w:rsidRPr="0092732F">
        <w:rPr>
          <w:rFonts w:ascii="Calibri"/>
        </w:rPr>
        <w:t>22.</w:t>
      </w:r>
      <w:r w:rsidRPr="0092732F">
        <w:rPr>
          <w:rFonts w:ascii="Calibri"/>
        </w:rPr>
        <w:tab/>
        <w:t xml:space="preserve">Braun, V., Hantke, K. &amp; Köster, W. Bacterial iron transport: mechanisms, genetics, and regulation. </w:t>
      </w:r>
      <w:r w:rsidRPr="0092732F">
        <w:rPr>
          <w:rFonts w:ascii="Calibri"/>
          <w:i/>
          <w:iCs/>
        </w:rPr>
        <w:t>Met. Ions Biol. Syst.</w:t>
      </w:r>
      <w:r w:rsidRPr="0092732F">
        <w:rPr>
          <w:rFonts w:ascii="Calibri"/>
        </w:rPr>
        <w:t xml:space="preserve"> </w:t>
      </w:r>
      <w:r w:rsidRPr="0092732F">
        <w:rPr>
          <w:rFonts w:ascii="Calibri"/>
          <w:b/>
          <w:bCs/>
        </w:rPr>
        <w:t>35,</w:t>
      </w:r>
      <w:r w:rsidRPr="0092732F">
        <w:rPr>
          <w:rFonts w:ascii="Calibri"/>
        </w:rPr>
        <w:t xml:space="preserve"> 67–145 (1998).</w:t>
      </w:r>
    </w:p>
    <w:p w14:paraId="27BAFBF0" w14:textId="77777777" w:rsidR="0092732F" w:rsidRPr="0092732F" w:rsidRDefault="0092732F" w:rsidP="0092732F">
      <w:pPr>
        <w:pStyle w:val="Bibliography"/>
        <w:rPr>
          <w:rFonts w:ascii="Calibri"/>
        </w:rPr>
      </w:pPr>
      <w:r w:rsidRPr="0092732F">
        <w:rPr>
          <w:rFonts w:ascii="Calibri"/>
        </w:rPr>
        <w:t>23.</w:t>
      </w:r>
      <w:r w:rsidRPr="0092732F">
        <w:rPr>
          <w:rFonts w:ascii="Calibri"/>
        </w:rPr>
        <w:tab/>
        <w:t xml:space="preserve">Weissenborn, D. L., Wittekindt, N. &amp; Larson, T. J. Structure and regulation of the glpFK operon encoding glycerol diffusion facilitator and glycerol kinase of Escherichia coli K-12. </w:t>
      </w:r>
      <w:r w:rsidRPr="0092732F">
        <w:rPr>
          <w:rFonts w:ascii="Calibri"/>
          <w:i/>
          <w:iCs/>
        </w:rPr>
        <w:t>J. Biol. Chem.</w:t>
      </w:r>
      <w:r w:rsidRPr="0092732F">
        <w:rPr>
          <w:rFonts w:ascii="Calibri"/>
        </w:rPr>
        <w:t xml:space="preserve"> </w:t>
      </w:r>
      <w:r w:rsidRPr="0092732F">
        <w:rPr>
          <w:rFonts w:ascii="Calibri"/>
          <w:b/>
          <w:bCs/>
        </w:rPr>
        <w:t>267,</w:t>
      </w:r>
      <w:r w:rsidRPr="0092732F">
        <w:rPr>
          <w:rFonts w:ascii="Calibri"/>
        </w:rPr>
        <w:t xml:space="preserve"> 6122–6131 (1992).</w:t>
      </w:r>
    </w:p>
    <w:p w14:paraId="4B5FF6A9" w14:textId="77777777" w:rsidR="0092732F" w:rsidRPr="0092732F" w:rsidRDefault="0092732F" w:rsidP="0092732F">
      <w:pPr>
        <w:pStyle w:val="Bibliography"/>
        <w:rPr>
          <w:rFonts w:ascii="Calibri"/>
        </w:rPr>
      </w:pPr>
      <w:r w:rsidRPr="0092732F">
        <w:rPr>
          <w:rFonts w:ascii="Calibri"/>
        </w:rPr>
        <w:t>24.</w:t>
      </w:r>
      <w:r w:rsidRPr="0092732F">
        <w:rPr>
          <w:rFonts w:ascii="Calibri"/>
        </w:rPr>
        <w:tab/>
        <w:t xml:space="preserve">Fujita, Y., Nihashi, J. &amp; Fujita, T. The characterization and cloning of a gluconate (gnt) operon of Bacillus subtilis. </w:t>
      </w:r>
      <w:r w:rsidRPr="0092732F">
        <w:rPr>
          <w:rFonts w:ascii="Calibri"/>
          <w:i/>
          <w:iCs/>
        </w:rPr>
        <w:t>J. Gen. Microbiol.</w:t>
      </w:r>
      <w:r w:rsidRPr="0092732F">
        <w:rPr>
          <w:rFonts w:ascii="Calibri"/>
        </w:rPr>
        <w:t xml:space="preserve"> </w:t>
      </w:r>
      <w:r w:rsidRPr="0092732F">
        <w:rPr>
          <w:rFonts w:ascii="Calibri"/>
          <w:b/>
          <w:bCs/>
        </w:rPr>
        <w:t>132,</w:t>
      </w:r>
      <w:r w:rsidRPr="0092732F">
        <w:rPr>
          <w:rFonts w:ascii="Calibri"/>
        </w:rPr>
        <w:t xml:space="preserve"> 161–169 (1986).</w:t>
      </w:r>
    </w:p>
    <w:p w14:paraId="3B868E62" w14:textId="77777777" w:rsidR="0092732F" w:rsidRPr="0092732F" w:rsidRDefault="0092732F" w:rsidP="0092732F">
      <w:pPr>
        <w:pStyle w:val="Bibliography"/>
        <w:rPr>
          <w:rFonts w:ascii="Calibri"/>
        </w:rPr>
      </w:pPr>
      <w:r w:rsidRPr="0092732F">
        <w:rPr>
          <w:rFonts w:ascii="Calibri"/>
        </w:rPr>
        <w:t>25.</w:t>
      </w:r>
      <w:r w:rsidRPr="0092732F">
        <w:rPr>
          <w:rFonts w:ascii="Calibri"/>
        </w:rPr>
        <w:tab/>
        <w:t xml:space="preserve">Bausch, C. </w:t>
      </w:r>
      <w:r w:rsidRPr="0092732F">
        <w:rPr>
          <w:rFonts w:ascii="Calibri"/>
          <w:i/>
          <w:iCs/>
        </w:rPr>
        <w:t>et al.</w:t>
      </w:r>
      <w:r w:rsidRPr="0092732F">
        <w:rPr>
          <w:rFonts w:ascii="Calibri"/>
        </w:rPr>
        <w:t xml:space="preserve"> Sequence analysis of the GntII (subsidiary) system for gluconate metabolism reveals a novel pathway for L-idonic acid catabolism in Escherichia coli. </w:t>
      </w:r>
      <w:r w:rsidRPr="0092732F">
        <w:rPr>
          <w:rFonts w:ascii="Calibri"/>
          <w:i/>
          <w:iCs/>
        </w:rPr>
        <w:t>J. Bacteriol.</w:t>
      </w:r>
      <w:r w:rsidRPr="0092732F">
        <w:rPr>
          <w:rFonts w:ascii="Calibri"/>
        </w:rPr>
        <w:t xml:space="preserve"> </w:t>
      </w:r>
      <w:r w:rsidRPr="0092732F">
        <w:rPr>
          <w:rFonts w:ascii="Calibri"/>
          <w:b/>
          <w:bCs/>
        </w:rPr>
        <w:t>180,</w:t>
      </w:r>
      <w:r w:rsidRPr="0092732F">
        <w:rPr>
          <w:rFonts w:ascii="Calibri"/>
        </w:rPr>
        <w:t xml:space="preserve"> 3704–3710 (1998).</w:t>
      </w:r>
    </w:p>
    <w:p w14:paraId="3411090A" w14:textId="77777777" w:rsidR="0092732F" w:rsidRPr="0092732F" w:rsidRDefault="0092732F" w:rsidP="0092732F">
      <w:pPr>
        <w:pStyle w:val="Bibliography"/>
        <w:rPr>
          <w:rFonts w:ascii="Calibri"/>
        </w:rPr>
      </w:pPr>
      <w:r w:rsidRPr="0092732F">
        <w:rPr>
          <w:rFonts w:ascii="Calibri"/>
        </w:rPr>
        <w:t>26.</w:t>
      </w:r>
      <w:r w:rsidRPr="0092732F">
        <w:rPr>
          <w:rFonts w:ascii="Calibri"/>
        </w:rPr>
        <w:tab/>
        <w:t xml:space="preserve">Dong, J. M., Taylor, J. S., Latour, D. J., Iuchi, S. &amp; Lin, E. C. Three overlapping lct genes involved in L-lactate utilization by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6671–6678 (1993).</w:t>
      </w:r>
    </w:p>
    <w:p w14:paraId="0C948A65" w14:textId="77777777" w:rsidR="0092732F" w:rsidRPr="0092732F" w:rsidRDefault="0092732F" w:rsidP="0092732F">
      <w:pPr>
        <w:pStyle w:val="Bibliography"/>
        <w:rPr>
          <w:rFonts w:ascii="Calibri"/>
        </w:rPr>
      </w:pPr>
      <w:r w:rsidRPr="0092732F">
        <w:rPr>
          <w:rFonts w:ascii="Calibri"/>
        </w:rPr>
        <w:t>27.</w:t>
      </w:r>
      <w:r w:rsidRPr="0092732F">
        <w:rPr>
          <w:rFonts w:ascii="Calibri"/>
        </w:rPr>
        <w:tab/>
        <w:t xml:space="preserve">Gilad, Y. &amp; Mizrahi-Man, O. A reanalysis of mouse ENCODE comparative gene expression data. </w:t>
      </w:r>
      <w:r w:rsidRPr="0092732F">
        <w:rPr>
          <w:rFonts w:ascii="Calibri"/>
          <w:i/>
          <w:iCs/>
        </w:rPr>
        <w:t>F1000Research</w:t>
      </w:r>
      <w:r w:rsidRPr="0092732F">
        <w:rPr>
          <w:rFonts w:ascii="Calibri"/>
        </w:rPr>
        <w:t xml:space="preserve"> </w:t>
      </w:r>
      <w:r w:rsidRPr="0092732F">
        <w:rPr>
          <w:rFonts w:ascii="Calibri"/>
          <w:b/>
          <w:bCs/>
        </w:rPr>
        <w:t>4,</w:t>
      </w:r>
      <w:r w:rsidRPr="0092732F">
        <w:rPr>
          <w:rFonts w:ascii="Calibri"/>
        </w:rPr>
        <w:t xml:space="preserve"> 121 (2015).</w:t>
      </w:r>
    </w:p>
    <w:p w14:paraId="398DFC4A" w14:textId="77777777" w:rsidR="0092732F" w:rsidRPr="0092732F" w:rsidRDefault="0092732F" w:rsidP="0092732F">
      <w:pPr>
        <w:pStyle w:val="Bibliography"/>
        <w:rPr>
          <w:rFonts w:ascii="Calibri"/>
        </w:rPr>
      </w:pPr>
      <w:r w:rsidRPr="0092732F">
        <w:rPr>
          <w:rFonts w:ascii="Calibri"/>
        </w:rPr>
        <w:t>28.</w:t>
      </w:r>
      <w:r w:rsidRPr="0092732F">
        <w:rPr>
          <w:rFonts w:ascii="Calibri"/>
        </w:rPr>
        <w:tab/>
        <w:t>Differential analysis of count data – the DESeq2 package. (2016). Available at: http://journals.plos.org/ploscompbiol/article/asset?id=10.1371%2Fjournal.pcbi.1004127.PDF. (Accessed: 12th April 2016)</w:t>
      </w:r>
    </w:p>
    <w:p w14:paraId="1714742F" w14:textId="77777777" w:rsidR="0092732F" w:rsidRPr="0092732F" w:rsidRDefault="0092732F" w:rsidP="0092732F">
      <w:pPr>
        <w:pStyle w:val="Bibliography"/>
        <w:rPr>
          <w:rFonts w:ascii="Calibri"/>
        </w:rPr>
      </w:pPr>
      <w:r w:rsidRPr="0092732F">
        <w:rPr>
          <w:rFonts w:ascii="Calibri"/>
        </w:rPr>
        <w:t>29.</w:t>
      </w:r>
      <w:r w:rsidRPr="0092732F">
        <w:rPr>
          <w:rFonts w:ascii="Calibri"/>
        </w:rPr>
        <w:tab/>
        <w:t xml:space="preserve">Chen, C. </w:t>
      </w:r>
      <w:r w:rsidRPr="0092732F">
        <w:rPr>
          <w:rFonts w:ascii="Calibri"/>
          <w:i/>
          <w:iCs/>
        </w:rPr>
        <w:t>et al.</w:t>
      </w:r>
      <w:r w:rsidRPr="0092732F">
        <w:rPr>
          <w:rFonts w:ascii="Calibri"/>
        </w:rPr>
        <w:t xml:space="preserve"> Removing batch effects in analysis of expression microarray data: an evaluation of six batch adjustment methods. </w:t>
      </w:r>
      <w:r w:rsidRPr="0092732F">
        <w:rPr>
          <w:rFonts w:ascii="Calibri"/>
          <w:i/>
          <w:iCs/>
        </w:rPr>
        <w:t>PloS One</w:t>
      </w:r>
      <w:r w:rsidRPr="0092732F">
        <w:rPr>
          <w:rFonts w:ascii="Calibri"/>
        </w:rPr>
        <w:t xml:space="preserve"> </w:t>
      </w:r>
      <w:r w:rsidRPr="0092732F">
        <w:rPr>
          <w:rFonts w:ascii="Calibri"/>
          <w:b/>
          <w:bCs/>
        </w:rPr>
        <w:t>6,</w:t>
      </w:r>
      <w:r w:rsidRPr="0092732F">
        <w:rPr>
          <w:rFonts w:ascii="Calibri"/>
        </w:rPr>
        <w:t xml:space="preserve"> e17238 (2011).</w:t>
      </w:r>
    </w:p>
    <w:p w14:paraId="06B9E5A0" w14:textId="77777777" w:rsidR="0092732F" w:rsidRPr="0092732F" w:rsidRDefault="0092732F" w:rsidP="0092732F">
      <w:pPr>
        <w:pStyle w:val="Bibliography"/>
        <w:rPr>
          <w:rFonts w:ascii="Calibri"/>
        </w:rPr>
      </w:pPr>
      <w:r w:rsidRPr="0092732F">
        <w:rPr>
          <w:rFonts w:ascii="Calibri"/>
        </w:rPr>
        <w:t>30.</w:t>
      </w:r>
      <w:r w:rsidRPr="0092732F">
        <w:rPr>
          <w:rFonts w:ascii="Calibri"/>
        </w:rPr>
        <w:tab/>
        <w:t xml:space="preserve">Lazar, C. </w:t>
      </w:r>
      <w:r w:rsidRPr="0092732F">
        <w:rPr>
          <w:rFonts w:ascii="Calibri"/>
          <w:i/>
          <w:iCs/>
        </w:rPr>
        <w:t>et al.</w:t>
      </w:r>
      <w:r w:rsidRPr="0092732F">
        <w:rPr>
          <w:rFonts w:ascii="Calibri"/>
        </w:rPr>
        <w:t xml:space="preserve"> Batch effect removal methods for microarray gene expression data integration: a survey. </w:t>
      </w:r>
      <w:r w:rsidRPr="0092732F">
        <w:rPr>
          <w:rFonts w:ascii="Calibri"/>
          <w:i/>
          <w:iCs/>
        </w:rPr>
        <w:t>Brief. Bioinform.</w:t>
      </w:r>
      <w:r w:rsidRPr="0092732F">
        <w:rPr>
          <w:rFonts w:ascii="Calibri"/>
        </w:rPr>
        <w:t xml:space="preserve"> </w:t>
      </w:r>
      <w:r w:rsidRPr="0092732F">
        <w:rPr>
          <w:rFonts w:ascii="Calibri"/>
          <w:b/>
          <w:bCs/>
        </w:rPr>
        <w:t>14,</w:t>
      </w:r>
      <w:r w:rsidRPr="0092732F">
        <w:rPr>
          <w:rFonts w:ascii="Calibri"/>
        </w:rPr>
        <w:t xml:space="preserve"> 469–490 (2013).</w:t>
      </w:r>
    </w:p>
    <w:p w14:paraId="24AAE798" w14:textId="77777777" w:rsidR="0092732F" w:rsidRPr="0092732F" w:rsidRDefault="0092732F" w:rsidP="0092732F">
      <w:pPr>
        <w:pStyle w:val="Bibliography"/>
        <w:rPr>
          <w:rFonts w:ascii="Calibri"/>
        </w:rPr>
      </w:pPr>
      <w:r w:rsidRPr="0092732F">
        <w:rPr>
          <w:rFonts w:ascii="Calibri"/>
        </w:rPr>
        <w:t>31.</w:t>
      </w:r>
      <w:r w:rsidRPr="0092732F">
        <w:rPr>
          <w:rFonts w:ascii="Calibri"/>
        </w:rPr>
        <w:tab/>
        <w:t xml:space="preserve">Johnson, W. E., Li, C. &amp; Rabinovic, A. Adjusting batch effects in microarray expression data using empirical Bayes methods. </w:t>
      </w:r>
      <w:r w:rsidRPr="0092732F">
        <w:rPr>
          <w:rFonts w:ascii="Calibri"/>
          <w:i/>
          <w:iCs/>
        </w:rPr>
        <w:t>Biostat. Oxf. Engl.</w:t>
      </w:r>
      <w:r w:rsidRPr="0092732F">
        <w:rPr>
          <w:rFonts w:ascii="Calibri"/>
        </w:rPr>
        <w:t xml:space="preserve"> </w:t>
      </w:r>
      <w:r w:rsidRPr="0092732F">
        <w:rPr>
          <w:rFonts w:ascii="Calibri"/>
          <w:b/>
          <w:bCs/>
        </w:rPr>
        <w:t>8,</w:t>
      </w:r>
      <w:r w:rsidRPr="0092732F">
        <w:rPr>
          <w:rFonts w:ascii="Calibri"/>
        </w:rPr>
        <w:t xml:space="preserve"> 118–127 (2007).</w:t>
      </w:r>
    </w:p>
    <w:p w14:paraId="4B837C19" w14:textId="77777777" w:rsidR="0092732F" w:rsidRPr="0092732F" w:rsidRDefault="0092732F" w:rsidP="0092732F">
      <w:pPr>
        <w:pStyle w:val="Bibliography"/>
        <w:rPr>
          <w:rFonts w:ascii="Calibri"/>
        </w:rPr>
      </w:pPr>
      <w:r w:rsidRPr="0092732F">
        <w:rPr>
          <w:rFonts w:ascii="Calibri"/>
        </w:rPr>
        <w:t>32.</w:t>
      </w:r>
      <w:r w:rsidRPr="0092732F">
        <w:rPr>
          <w:rFonts w:ascii="Calibri"/>
        </w:rPr>
        <w:tab/>
        <w:t xml:space="preserve">Luo, J. </w:t>
      </w:r>
      <w:r w:rsidRPr="0092732F">
        <w:rPr>
          <w:rFonts w:ascii="Calibri"/>
          <w:i/>
          <w:iCs/>
        </w:rPr>
        <w:t>et al.</w:t>
      </w:r>
      <w:r w:rsidRPr="0092732F">
        <w:rPr>
          <w:rFonts w:ascii="Calibri"/>
        </w:rPr>
        <w:t xml:space="preserve"> A comparison of batch effect removal methods for enhancement of prediction performance using MAQC-II microarray gene expression data. </w:t>
      </w:r>
      <w:r w:rsidRPr="0092732F">
        <w:rPr>
          <w:rFonts w:ascii="Calibri"/>
          <w:i/>
          <w:iCs/>
        </w:rPr>
        <w:t>Pharmacogenomics J.</w:t>
      </w:r>
      <w:r w:rsidRPr="0092732F">
        <w:rPr>
          <w:rFonts w:ascii="Calibri"/>
        </w:rPr>
        <w:t xml:space="preserve"> </w:t>
      </w:r>
      <w:r w:rsidRPr="0092732F">
        <w:rPr>
          <w:rFonts w:ascii="Calibri"/>
          <w:b/>
          <w:bCs/>
        </w:rPr>
        <w:t>10,</w:t>
      </w:r>
      <w:r w:rsidRPr="0092732F">
        <w:rPr>
          <w:rFonts w:ascii="Calibri"/>
        </w:rPr>
        <w:t xml:space="preserve"> 278–291 (2010).</w:t>
      </w:r>
    </w:p>
    <w:p w14:paraId="0E3CA8AC" w14:textId="77777777" w:rsidR="0092732F" w:rsidRPr="0092732F" w:rsidRDefault="0092732F" w:rsidP="0092732F">
      <w:pPr>
        <w:pStyle w:val="Bibliography"/>
        <w:rPr>
          <w:rFonts w:ascii="Calibri"/>
        </w:rPr>
      </w:pPr>
      <w:r w:rsidRPr="0092732F">
        <w:rPr>
          <w:rFonts w:ascii="Calibri"/>
        </w:rPr>
        <w:t>33.</w:t>
      </w:r>
      <w:r w:rsidRPr="0092732F">
        <w:rPr>
          <w:rFonts w:ascii="Calibri"/>
        </w:rPr>
        <w:tab/>
        <w:t xml:space="preserve">Kim, M., Rai, N., Zorraquino, V. &amp; Tagkopoulos, I. Multi-omics integration accurately predicts cellular state in unexplored conditions for Escherichia coli. </w:t>
      </w:r>
      <w:r w:rsidRPr="0092732F">
        <w:rPr>
          <w:rFonts w:ascii="Calibri"/>
          <w:i/>
          <w:iCs/>
        </w:rPr>
        <w:t>Nat. Commun.</w:t>
      </w:r>
      <w:r w:rsidRPr="0092732F">
        <w:rPr>
          <w:rFonts w:ascii="Calibri"/>
        </w:rPr>
        <w:t xml:space="preserve"> </w:t>
      </w:r>
      <w:r w:rsidRPr="0092732F">
        <w:rPr>
          <w:rFonts w:ascii="Calibri"/>
          <w:b/>
          <w:bCs/>
        </w:rPr>
        <w:t>7,</w:t>
      </w:r>
      <w:r w:rsidRPr="0092732F">
        <w:rPr>
          <w:rFonts w:ascii="Calibri"/>
        </w:rPr>
        <w:t xml:space="preserve"> (2016).</w:t>
      </w:r>
    </w:p>
    <w:p w14:paraId="481F7CF1" w14:textId="77777777" w:rsidR="0092732F" w:rsidRPr="0092732F" w:rsidRDefault="0092732F" w:rsidP="0092732F">
      <w:pPr>
        <w:pStyle w:val="Bibliography"/>
        <w:rPr>
          <w:rFonts w:ascii="Calibri"/>
        </w:rPr>
      </w:pPr>
      <w:r w:rsidRPr="0092732F">
        <w:rPr>
          <w:rFonts w:ascii="Calibri"/>
        </w:rPr>
        <w:t>34.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7B08F4B3" w14:textId="77777777" w:rsidR="0092732F" w:rsidRPr="0092732F" w:rsidRDefault="0092732F" w:rsidP="0092732F">
      <w:pPr>
        <w:pStyle w:val="Bibliography"/>
        <w:rPr>
          <w:rFonts w:ascii="Calibri"/>
        </w:rPr>
      </w:pPr>
      <w:r w:rsidRPr="0092732F">
        <w:rPr>
          <w:rFonts w:ascii="Calibri"/>
        </w:rPr>
        <w:t>35.</w:t>
      </w:r>
      <w:r w:rsidRPr="0092732F">
        <w:rPr>
          <w:rFonts w:ascii="Calibri"/>
        </w:rPr>
        <w:tab/>
        <w:t xml:space="preserve">Zamboni, N., Fischer, E. &amp; Sauer, U. FiatFlux--a software for metabolic flux analysis from 13C-glucose experiments. </w:t>
      </w:r>
      <w:r w:rsidRPr="0092732F">
        <w:rPr>
          <w:rFonts w:ascii="Calibri"/>
          <w:i/>
          <w:iCs/>
        </w:rPr>
        <w:t>BMC Bioinformatics</w:t>
      </w:r>
      <w:r w:rsidRPr="0092732F">
        <w:rPr>
          <w:rFonts w:ascii="Calibri"/>
        </w:rPr>
        <w:t xml:space="preserve"> </w:t>
      </w:r>
      <w:r w:rsidRPr="0092732F">
        <w:rPr>
          <w:rFonts w:ascii="Calibri"/>
          <w:b/>
          <w:bCs/>
        </w:rPr>
        <w:t>6,</w:t>
      </w:r>
      <w:r w:rsidRPr="0092732F">
        <w:rPr>
          <w:rFonts w:ascii="Calibri"/>
        </w:rPr>
        <w:t xml:space="preserve"> 209 (2005).</w:t>
      </w:r>
    </w:p>
    <w:p w14:paraId="21A07E5A" w14:textId="77777777" w:rsidR="0092732F" w:rsidRPr="0092732F" w:rsidRDefault="0092732F" w:rsidP="0092732F">
      <w:pPr>
        <w:pStyle w:val="Bibliography"/>
        <w:rPr>
          <w:rFonts w:ascii="Calibri"/>
        </w:rPr>
      </w:pPr>
      <w:r w:rsidRPr="0092732F">
        <w:rPr>
          <w:rFonts w:ascii="Calibri"/>
        </w:rPr>
        <w:t>36.</w:t>
      </w:r>
      <w:r w:rsidRPr="0092732F">
        <w:rPr>
          <w:rFonts w:ascii="Calibri"/>
        </w:rPr>
        <w:tab/>
        <w:t xml:space="preserve">Lenski, R. E., Rose, M. R., Simpson, S. C. &amp; Tadler, S. C. Long-Term Experimental Evolution in Escherichia coli. I. Adaptation and Divergence During 2,000 Generations. </w:t>
      </w:r>
      <w:r w:rsidRPr="0092732F">
        <w:rPr>
          <w:rFonts w:ascii="Calibri"/>
          <w:i/>
          <w:iCs/>
        </w:rPr>
        <w:t>Am. Nat.</w:t>
      </w:r>
      <w:r w:rsidRPr="0092732F">
        <w:rPr>
          <w:rFonts w:ascii="Calibri"/>
        </w:rPr>
        <w:t xml:space="preserve"> </w:t>
      </w:r>
      <w:r w:rsidRPr="0092732F">
        <w:rPr>
          <w:rFonts w:ascii="Calibri"/>
          <w:b/>
          <w:bCs/>
        </w:rPr>
        <w:t>138,</w:t>
      </w:r>
      <w:r w:rsidRPr="0092732F">
        <w:rPr>
          <w:rFonts w:ascii="Calibri"/>
        </w:rPr>
        <w:t xml:space="preserve"> 1315–1341 (1991).</w:t>
      </w:r>
    </w:p>
    <w:p w14:paraId="251BF7F9" w14:textId="77777777" w:rsidR="0092732F" w:rsidRPr="0092732F" w:rsidRDefault="0092732F" w:rsidP="0092732F">
      <w:pPr>
        <w:pStyle w:val="Bibliography"/>
        <w:rPr>
          <w:rFonts w:ascii="Calibri"/>
        </w:rPr>
      </w:pPr>
      <w:r w:rsidRPr="0092732F">
        <w:rPr>
          <w:rFonts w:ascii="Calibri"/>
        </w:rPr>
        <w:t>37.</w:t>
      </w:r>
      <w:r w:rsidRPr="0092732F">
        <w:rPr>
          <w:rFonts w:ascii="Calibri"/>
        </w:rPr>
        <w:tab/>
        <w:t xml:space="preserve">Stead, M. B. </w:t>
      </w:r>
      <w:r w:rsidRPr="0092732F">
        <w:rPr>
          <w:rFonts w:ascii="Calibri"/>
          <w:i/>
          <w:iCs/>
        </w:rPr>
        <w:t>et al.</w:t>
      </w:r>
      <w:r w:rsidRPr="0092732F">
        <w:rPr>
          <w:rFonts w:ascii="Calibri"/>
        </w:rPr>
        <w:t xml:space="preserve"> RNAsnap</w:t>
      </w:r>
      <w:r w:rsidRPr="0092732F">
        <w:rPr>
          <w:rFonts w:ascii="Calibri"/>
          <w:vertAlign w:val="superscript"/>
        </w:rPr>
        <w:t>TM</w:t>
      </w:r>
      <w:r w:rsidRPr="0092732F">
        <w:rPr>
          <w:rFonts w:ascii="Calibri"/>
        </w:rPr>
        <w:t xml:space="preserve">: a rapid, quantitative and inexpensive, method for isolating total RNA from bacteria. </w:t>
      </w:r>
      <w:r w:rsidRPr="0092732F">
        <w:rPr>
          <w:rFonts w:ascii="Calibri"/>
          <w:i/>
          <w:iCs/>
        </w:rPr>
        <w:t>Nucleic Acids Res.</w:t>
      </w:r>
      <w:r w:rsidRPr="0092732F">
        <w:rPr>
          <w:rFonts w:ascii="Calibri"/>
        </w:rPr>
        <w:t xml:space="preserve"> </w:t>
      </w:r>
      <w:r w:rsidRPr="0092732F">
        <w:rPr>
          <w:rFonts w:ascii="Calibri"/>
          <w:b/>
          <w:bCs/>
        </w:rPr>
        <w:t>40,</w:t>
      </w:r>
      <w:r w:rsidRPr="0092732F">
        <w:rPr>
          <w:rFonts w:ascii="Calibri"/>
        </w:rPr>
        <w:t xml:space="preserve"> e156 (2012).</w:t>
      </w:r>
    </w:p>
    <w:p w14:paraId="3D04C48E" w14:textId="77777777" w:rsidR="0092732F" w:rsidRPr="0092732F" w:rsidRDefault="0092732F" w:rsidP="0092732F">
      <w:pPr>
        <w:pStyle w:val="Bibliography"/>
        <w:rPr>
          <w:rFonts w:ascii="Calibri"/>
        </w:rPr>
      </w:pPr>
      <w:r w:rsidRPr="0092732F">
        <w:rPr>
          <w:rFonts w:ascii="Calibri"/>
        </w:rPr>
        <w:t>38.</w:t>
      </w:r>
      <w:r w:rsidRPr="0092732F">
        <w:rPr>
          <w:rFonts w:ascii="Calibri"/>
        </w:rPr>
        <w:tab/>
        <w:t xml:space="preserve">Jeong, H. </w:t>
      </w:r>
      <w:r w:rsidRPr="0092732F">
        <w:rPr>
          <w:rFonts w:ascii="Calibri"/>
          <w:i/>
          <w:iCs/>
        </w:rPr>
        <w:t>et al.</w:t>
      </w:r>
      <w:r w:rsidRPr="0092732F">
        <w:rPr>
          <w:rFonts w:ascii="Calibri"/>
        </w:rPr>
        <w:t xml:space="preserve"> Genome Sequences of Escherichia coli B strains REL606 and BL21(DE3). </w:t>
      </w:r>
      <w:r w:rsidRPr="0092732F">
        <w:rPr>
          <w:rFonts w:ascii="Calibri"/>
          <w:i/>
          <w:iCs/>
        </w:rPr>
        <w:t>J. Mol. Biol.</w:t>
      </w:r>
      <w:r w:rsidRPr="0092732F">
        <w:rPr>
          <w:rFonts w:ascii="Calibri"/>
        </w:rPr>
        <w:t xml:space="preserve"> </w:t>
      </w:r>
      <w:r w:rsidRPr="0092732F">
        <w:rPr>
          <w:rFonts w:ascii="Calibri"/>
          <w:b/>
          <w:bCs/>
        </w:rPr>
        <w:t>394,</w:t>
      </w:r>
      <w:r w:rsidRPr="0092732F">
        <w:rPr>
          <w:rFonts w:ascii="Calibri"/>
        </w:rPr>
        <w:t xml:space="preserve"> 644–652 (2009).</w:t>
      </w:r>
    </w:p>
    <w:p w14:paraId="7AF53ECB" w14:textId="77777777" w:rsidR="0092732F" w:rsidRPr="0092732F" w:rsidRDefault="0092732F" w:rsidP="0092732F">
      <w:pPr>
        <w:pStyle w:val="Bibliography"/>
        <w:rPr>
          <w:rFonts w:ascii="Calibri"/>
        </w:rPr>
      </w:pPr>
      <w:r w:rsidRPr="0092732F">
        <w:rPr>
          <w:rFonts w:ascii="Calibri"/>
        </w:rPr>
        <w:t>39.</w:t>
      </w:r>
      <w:r w:rsidRPr="0092732F">
        <w:rPr>
          <w:rFonts w:ascii="Calibri"/>
        </w:rPr>
        <w:tab/>
        <w:t xml:space="preserve">Burge, S. W. </w:t>
      </w:r>
      <w:r w:rsidRPr="0092732F">
        <w:rPr>
          <w:rFonts w:ascii="Calibri"/>
          <w:i/>
          <w:iCs/>
        </w:rPr>
        <w:t>et al.</w:t>
      </w:r>
      <w:r w:rsidRPr="0092732F">
        <w:rPr>
          <w:rFonts w:ascii="Calibri"/>
        </w:rPr>
        <w:t xml:space="preserve"> Rfam 11.0: 10 years of RNA families.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D226-232 (2013).</w:t>
      </w:r>
    </w:p>
    <w:p w14:paraId="2D76EF54" w14:textId="77777777" w:rsidR="0092732F" w:rsidRPr="0092732F" w:rsidRDefault="0092732F" w:rsidP="0092732F">
      <w:pPr>
        <w:pStyle w:val="Bibliography"/>
        <w:rPr>
          <w:rFonts w:ascii="Calibri"/>
        </w:rPr>
      </w:pPr>
      <w:r w:rsidRPr="0092732F">
        <w:rPr>
          <w:rFonts w:ascii="Calibri"/>
        </w:rPr>
        <w:t>40.</w:t>
      </w:r>
      <w:r w:rsidRPr="0092732F">
        <w:rPr>
          <w:rFonts w:ascii="Calibri"/>
        </w:rPr>
        <w:tab/>
        <w:t xml:space="preserve">Dodt, M., Roehr, J. T., Ahmed, R. &amp; Dieterich, C. FLEXBAR—Flexible Barcode and Adapter Processing for Next-Generation Sequencing Platforms. </w:t>
      </w:r>
      <w:r w:rsidRPr="0092732F">
        <w:rPr>
          <w:rFonts w:ascii="Calibri"/>
          <w:i/>
          <w:iCs/>
        </w:rPr>
        <w:t>Biology</w:t>
      </w:r>
      <w:r w:rsidRPr="0092732F">
        <w:rPr>
          <w:rFonts w:ascii="Calibri"/>
        </w:rPr>
        <w:t xml:space="preserve"> </w:t>
      </w:r>
      <w:r w:rsidRPr="0092732F">
        <w:rPr>
          <w:rFonts w:ascii="Calibri"/>
          <w:b/>
          <w:bCs/>
        </w:rPr>
        <w:t>1,</w:t>
      </w:r>
      <w:r w:rsidRPr="0092732F">
        <w:rPr>
          <w:rFonts w:ascii="Calibri"/>
        </w:rPr>
        <w:t xml:space="preserve"> 895–905 (2012).</w:t>
      </w:r>
    </w:p>
    <w:p w14:paraId="46C82D7A" w14:textId="77777777" w:rsidR="0092732F" w:rsidRPr="0092732F" w:rsidRDefault="0092732F" w:rsidP="0092732F">
      <w:pPr>
        <w:pStyle w:val="Bibliography"/>
        <w:rPr>
          <w:rFonts w:ascii="Calibri"/>
        </w:rPr>
      </w:pPr>
      <w:r w:rsidRPr="0092732F">
        <w:rPr>
          <w:rFonts w:ascii="Calibri"/>
        </w:rPr>
        <w:t>41.</w:t>
      </w:r>
      <w:r w:rsidRPr="0092732F">
        <w:rPr>
          <w:rFonts w:ascii="Calibri"/>
        </w:rPr>
        <w:tab/>
        <w:t xml:space="preserve">Langmead, B. &amp; Salzberg, S. L. Fast gapped-read alignment with Bowtie 2. </w:t>
      </w:r>
      <w:r w:rsidRPr="0092732F">
        <w:rPr>
          <w:rFonts w:ascii="Calibri"/>
          <w:i/>
          <w:iCs/>
        </w:rPr>
        <w:t>Nat. Methods</w:t>
      </w:r>
      <w:r w:rsidRPr="0092732F">
        <w:rPr>
          <w:rFonts w:ascii="Calibri"/>
        </w:rPr>
        <w:t xml:space="preserve"> </w:t>
      </w:r>
      <w:r w:rsidRPr="0092732F">
        <w:rPr>
          <w:rFonts w:ascii="Calibri"/>
          <w:b/>
          <w:bCs/>
        </w:rPr>
        <w:t>9,</w:t>
      </w:r>
      <w:r w:rsidRPr="0092732F">
        <w:rPr>
          <w:rFonts w:ascii="Calibri"/>
        </w:rPr>
        <w:t xml:space="preserve"> 357–359 (2012).</w:t>
      </w:r>
    </w:p>
    <w:p w14:paraId="0885717F" w14:textId="77777777" w:rsidR="0092732F" w:rsidRPr="0092732F" w:rsidRDefault="0092732F" w:rsidP="0092732F">
      <w:pPr>
        <w:pStyle w:val="Bibliography"/>
        <w:rPr>
          <w:rFonts w:ascii="Calibri"/>
        </w:rPr>
      </w:pPr>
      <w:r w:rsidRPr="0092732F">
        <w:rPr>
          <w:rFonts w:ascii="Calibri"/>
        </w:rPr>
        <w:t>42.</w:t>
      </w:r>
      <w:r w:rsidRPr="0092732F">
        <w:rPr>
          <w:rFonts w:ascii="Calibri"/>
        </w:rPr>
        <w:tab/>
        <w:t xml:space="preserve">Anders, S., Pyl, P. T. &amp; Huber, W. </w:t>
      </w:r>
      <w:r w:rsidRPr="0092732F">
        <w:rPr>
          <w:rFonts w:ascii="Calibri"/>
          <w:i/>
          <w:iCs/>
        </w:rPr>
        <w:t>HTSeq - A Python framework to work with high-throughput sequencing data</w:t>
      </w:r>
      <w:r w:rsidRPr="0092732F">
        <w:rPr>
          <w:rFonts w:ascii="Calibri"/>
        </w:rPr>
        <w:t>. (2014).</w:t>
      </w:r>
    </w:p>
    <w:p w14:paraId="025FD641" w14:textId="77777777" w:rsidR="0092732F" w:rsidRPr="0092732F" w:rsidRDefault="0092732F" w:rsidP="0092732F">
      <w:pPr>
        <w:pStyle w:val="Bibliography"/>
        <w:rPr>
          <w:rFonts w:ascii="Calibri"/>
        </w:rPr>
      </w:pPr>
      <w:r w:rsidRPr="0092732F">
        <w:rPr>
          <w:rFonts w:ascii="Calibri"/>
        </w:rPr>
        <w:t>43.</w:t>
      </w:r>
      <w:r w:rsidRPr="0092732F">
        <w:rPr>
          <w:rFonts w:ascii="Calibri"/>
        </w:rPr>
        <w:tab/>
        <w:t xml:space="preserve">Harcombe, W. R., Delaney, N. F., Leiby, N., Klitgord, N. &amp; Marx, C. J. The ability of flux balance analysis to predict evolution of central metabolism scales with the initial distance to the optimum. </w:t>
      </w:r>
      <w:r w:rsidRPr="0092732F">
        <w:rPr>
          <w:rFonts w:ascii="Calibri"/>
          <w:i/>
          <w:iCs/>
        </w:rPr>
        <w:t>PLoS Comput. Biol.</w:t>
      </w:r>
      <w:r w:rsidRPr="0092732F">
        <w:rPr>
          <w:rFonts w:ascii="Calibri"/>
        </w:rPr>
        <w:t xml:space="preserve"> </w:t>
      </w:r>
      <w:r w:rsidRPr="0092732F">
        <w:rPr>
          <w:rFonts w:ascii="Calibri"/>
          <w:b/>
          <w:bCs/>
        </w:rPr>
        <w:t>9,</w:t>
      </w:r>
      <w:r w:rsidRPr="0092732F">
        <w:rPr>
          <w:rFonts w:ascii="Calibri"/>
        </w:rPr>
        <w:t xml:space="preserve"> e1003091 (2013).</w:t>
      </w:r>
    </w:p>
    <w:p w14:paraId="31AB292C" w14:textId="77777777" w:rsidR="0092732F" w:rsidRPr="0092732F" w:rsidRDefault="0092732F" w:rsidP="0092732F">
      <w:pPr>
        <w:pStyle w:val="Bibliography"/>
        <w:rPr>
          <w:rFonts w:ascii="Calibri"/>
        </w:rPr>
      </w:pPr>
      <w:r w:rsidRPr="0092732F">
        <w:rPr>
          <w:rFonts w:ascii="Calibri"/>
        </w:rPr>
        <w:t>44.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0E574140" w14:textId="77777777" w:rsidR="0092732F" w:rsidRPr="0092732F" w:rsidRDefault="0092732F" w:rsidP="0092732F">
      <w:pPr>
        <w:pStyle w:val="Bibliography"/>
        <w:rPr>
          <w:rFonts w:ascii="Calibri"/>
        </w:rPr>
      </w:pPr>
      <w:r w:rsidRPr="0092732F">
        <w:rPr>
          <w:rFonts w:ascii="Calibri"/>
        </w:rPr>
        <w:t>45.</w:t>
      </w:r>
      <w:r w:rsidRPr="0092732F">
        <w:rPr>
          <w:rFonts w:ascii="Calibri"/>
        </w:rPr>
        <w:tab/>
        <w:t xml:space="preserve">Langfelder, P. &amp; Horvath, S. Fast R Functions for Robust Correlations and Hierarchical Clustering. </w:t>
      </w:r>
      <w:r w:rsidRPr="0092732F">
        <w:rPr>
          <w:rFonts w:ascii="Calibri"/>
          <w:i/>
          <w:iCs/>
        </w:rPr>
        <w:t>J. Stat. Softw.</w:t>
      </w:r>
      <w:r w:rsidRPr="0092732F">
        <w:rPr>
          <w:rFonts w:ascii="Calibri"/>
        </w:rPr>
        <w:t xml:space="preserve"> </w:t>
      </w:r>
      <w:r w:rsidRPr="0092732F">
        <w:rPr>
          <w:rFonts w:ascii="Calibri"/>
          <w:b/>
          <w:bCs/>
        </w:rPr>
        <w:t>46,</w:t>
      </w:r>
      <w:r w:rsidRPr="0092732F">
        <w:rPr>
          <w:rFonts w:ascii="Calibri"/>
        </w:rPr>
        <w:t xml:space="preserve"> (2012).</w:t>
      </w:r>
    </w:p>
    <w:p w14:paraId="446EEA93" w14:textId="77777777" w:rsidR="0092732F" w:rsidRPr="0092732F" w:rsidRDefault="0092732F" w:rsidP="0092732F">
      <w:pPr>
        <w:pStyle w:val="Bibliography"/>
        <w:rPr>
          <w:rFonts w:ascii="Calibri"/>
        </w:rPr>
      </w:pPr>
      <w:r w:rsidRPr="0092732F">
        <w:rPr>
          <w:rFonts w:ascii="Calibri"/>
        </w:rPr>
        <w:t>46.</w:t>
      </w:r>
      <w:r w:rsidRPr="0092732F">
        <w:rPr>
          <w:rFonts w:ascii="Calibri"/>
        </w:rPr>
        <w:tab/>
        <w:t xml:space="preserve">Soni Madhulatha, T. An Overview on Clustering Methods. </w:t>
      </w:r>
      <w:r w:rsidRPr="0092732F">
        <w:rPr>
          <w:rFonts w:ascii="Calibri"/>
          <w:i/>
          <w:iCs/>
        </w:rPr>
        <w:t>ArXiv E-Prints</w:t>
      </w:r>
      <w:r w:rsidRPr="0092732F">
        <w:rPr>
          <w:rFonts w:ascii="Calibri"/>
        </w:rPr>
        <w:t xml:space="preserve"> </w:t>
      </w:r>
      <w:r w:rsidRPr="0092732F">
        <w:rPr>
          <w:rFonts w:ascii="Calibri"/>
          <w:b/>
          <w:bCs/>
        </w:rPr>
        <w:t>1205,</w:t>
      </w:r>
      <w:r w:rsidRPr="0092732F">
        <w:rPr>
          <w:rFonts w:ascii="Calibri"/>
        </w:rPr>
        <w:t xml:space="preserve"> arXiv:1205.1117 (2012).</w:t>
      </w:r>
    </w:p>
    <w:p w14:paraId="6E29D753" w14:textId="77777777" w:rsidR="0092732F" w:rsidRPr="0092732F" w:rsidRDefault="0092732F" w:rsidP="0092732F">
      <w:pPr>
        <w:pStyle w:val="Bibliography"/>
        <w:rPr>
          <w:rFonts w:ascii="Calibri"/>
        </w:rPr>
      </w:pPr>
      <w:r w:rsidRPr="0092732F">
        <w:rPr>
          <w:rFonts w:ascii="Calibri"/>
        </w:rPr>
        <w:t>47.</w:t>
      </w:r>
      <w:r w:rsidRPr="0092732F">
        <w:rPr>
          <w:rFonts w:ascii="Calibri"/>
        </w:rPr>
        <w:tab/>
        <w:t xml:space="preserve">Barrett, T. </w:t>
      </w:r>
      <w:r w:rsidRPr="0092732F">
        <w:rPr>
          <w:rFonts w:ascii="Calibri"/>
          <w:i/>
          <w:iCs/>
        </w:rPr>
        <w:t>et al.</w:t>
      </w:r>
      <w:r w:rsidRPr="0092732F">
        <w:rPr>
          <w:rFonts w:ascii="Calibri"/>
        </w:rPr>
        <w:t xml:space="preserve"> NCBI GEO: archive for functional genomics data sets--update.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D991-995 (2013).</w:t>
      </w:r>
    </w:p>
    <w:p w14:paraId="563687C2" w14:textId="77777777" w:rsidR="0092732F" w:rsidRPr="0092732F" w:rsidRDefault="0092732F" w:rsidP="0092732F">
      <w:pPr>
        <w:pStyle w:val="Bibliography"/>
        <w:rPr>
          <w:rFonts w:ascii="Calibri"/>
        </w:rPr>
      </w:pPr>
      <w:r w:rsidRPr="0092732F">
        <w:rPr>
          <w:rFonts w:ascii="Calibri"/>
        </w:rPr>
        <w:t>48.</w:t>
      </w:r>
      <w:r w:rsidRPr="0092732F">
        <w:rPr>
          <w:rFonts w:ascii="Calibri"/>
        </w:rPr>
        <w:tab/>
        <w:t xml:space="preserve">Vizcaíno, J. A. </w:t>
      </w:r>
      <w:r w:rsidRPr="0092732F">
        <w:rPr>
          <w:rFonts w:ascii="Calibri"/>
          <w:i/>
          <w:iCs/>
        </w:rPr>
        <w:t>et al.</w:t>
      </w:r>
      <w:r w:rsidRPr="0092732F">
        <w:rPr>
          <w:rFonts w:ascii="Calibri"/>
        </w:rPr>
        <w:t xml:space="preserve"> ProteomeXchange provides globally coordinated proteomics data submission and dissemination. </w:t>
      </w:r>
      <w:r w:rsidRPr="0092732F">
        <w:rPr>
          <w:rFonts w:ascii="Calibri"/>
          <w:i/>
          <w:iCs/>
        </w:rPr>
        <w:t>Nat. Biotechnol.</w:t>
      </w:r>
      <w:r w:rsidRPr="0092732F">
        <w:rPr>
          <w:rFonts w:ascii="Calibri"/>
        </w:rPr>
        <w:t xml:space="preserve"> </w:t>
      </w:r>
      <w:r w:rsidRPr="0092732F">
        <w:rPr>
          <w:rFonts w:ascii="Calibri"/>
          <w:b/>
          <w:bCs/>
        </w:rPr>
        <w:t>32,</w:t>
      </w:r>
      <w:r w:rsidRPr="0092732F">
        <w:rPr>
          <w:rFonts w:ascii="Calibri"/>
        </w:rPr>
        <w:t xml:space="preserve"> 223–226 (2014).</w:t>
      </w:r>
    </w:p>
    <w:p w14:paraId="5076BE31" w14:textId="22143B5D"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5"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8593B" w14:textId="77777777" w:rsidR="00832EF5" w:rsidRDefault="00832EF5" w:rsidP="00522EEC">
      <w:r>
        <w:separator/>
      </w:r>
    </w:p>
  </w:endnote>
  <w:endnote w:type="continuationSeparator" w:id="0">
    <w:p w14:paraId="4ECFA68B" w14:textId="77777777" w:rsidR="00832EF5" w:rsidRDefault="00832EF5"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A739CB" w:rsidRDefault="00A739C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739CB" w:rsidRDefault="00A739CB"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A739CB" w:rsidRDefault="00A739C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2EF5">
      <w:rPr>
        <w:rStyle w:val="PageNumber"/>
        <w:noProof/>
      </w:rPr>
      <w:t>1</w:t>
    </w:r>
    <w:r>
      <w:rPr>
        <w:rStyle w:val="PageNumber"/>
      </w:rPr>
      <w:fldChar w:fldCharType="end"/>
    </w:r>
  </w:p>
  <w:p w14:paraId="7B2AAECF" w14:textId="77777777" w:rsidR="00A739CB" w:rsidRDefault="00A739CB"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BC5CB" w14:textId="77777777" w:rsidR="00832EF5" w:rsidRDefault="00832EF5" w:rsidP="00522EEC">
      <w:r>
        <w:separator/>
      </w:r>
    </w:p>
  </w:footnote>
  <w:footnote w:type="continuationSeparator" w:id="0">
    <w:p w14:paraId="5520CAE2" w14:textId="77777777" w:rsidR="00832EF5" w:rsidRDefault="00832EF5"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4857"/>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4D"/>
    <w:rsid w:val="00150EA6"/>
    <w:rsid w:val="001520BE"/>
    <w:rsid w:val="001524AC"/>
    <w:rsid w:val="0015350C"/>
    <w:rsid w:val="00155863"/>
    <w:rsid w:val="00156779"/>
    <w:rsid w:val="00156C2B"/>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202A"/>
    <w:rsid w:val="002461AB"/>
    <w:rsid w:val="002476F2"/>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1B9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256B"/>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1C0F"/>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0C68"/>
    <w:rsid w:val="004D16CE"/>
    <w:rsid w:val="004D2724"/>
    <w:rsid w:val="004D4F80"/>
    <w:rsid w:val="004D68D5"/>
    <w:rsid w:val="004D7CA3"/>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2707B"/>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4044"/>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2FA6"/>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77D20"/>
    <w:rsid w:val="00780E8E"/>
    <w:rsid w:val="0078102F"/>
    <w:rsid w:val="007814D9"/>
    <w:rsid w:val="00783D52"/>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07393"/>
    <w:rsid w:val="00810298"/>
    <w:rsid w:val="00810B87"/>
    <w:rsid w:val="008128F4"/>
    <w:rsid w:val="0081461F"/>
    <w:rsid w:val="008146CA"/>
    <w:rsid w:val="0081598A"/>
    <w:rsid w:val="008159C1"/>
    <w:rsid w:val="00816F92"/>
    <w:rsid w:val="0082091E"/>
    <w:rsid w:val="008217C8"/>
    <w:rsid w:val="008272F5"/>
    <w:rsid w:val="008323BE"/>
    <w:rsid w:val="00832EF5"/>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005"/>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A7411"/>
    <w:rsid w:val="008B0904"/>
    <w:rsid w:val="008B0BE3"/>
    <w:rsid w:val="008B1B39"/>
    <w:rsid w:val="008B6FB4"/>
    <w:rsid w:val="008B6FF4"/>
    <w:rsid w:val="008C0D13"/>
    <w:rsid w:val="008C2677"/>
    <w:rsid w:val="008C6351"/>
    <w:rsid w:val="008C75B1"/>
    <w:rsid w:val="008C775A"/>
    <w:rsid w:val="008D2570"/>
    <w:rsid w:val="008D433F"/>
    <w:rsid w:val="008D4D86"/>
    <w:rsid w:val="008E7153"/>
    <w:rsid w:val="008F095B"/>
    <w:rsid w:val="008F1107"/>
    <w:rsid w:val="008F16E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522"/>
    <w:rsid w:val="0092097B"/>
    <w:rsid w:val="00921F9C"/>
    <w:rsid w:val="0092247D"/>
    <w:rsid w:val="00922584"/>
    <w:rsid w:val="0092732F"/>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39CB"/>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9C8"/>
    <w:rsid w:val="00B22AA1"/>
    <w:rsid w:val="00B23487"/>
    <w:rsid w:val="00B241AC"/>
    <w:rsid w:val="00B24863"/>
    <w:rsid w:val="00B24D1F"/>
    <w:rsid w:val="00B261F8"/>
    <w:rsid w:val="00B26644"/>
    <w:rsid w:val="00B27658"/>
    <w:rsid w:val="00B30B75"/>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B7F6B"/>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38CF"/>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4AE"/>
    <w:rsid w:val="00C62836"/>
    <w:rsid w:val="00C6318C"/>
    <w:rsid w:val="00C63B06"/>
    <w:rsid w:val="00C64BDE"/>
    <w:rsid w:val="00C654DC"/>
    <w:rsid w:val="00C711F7"/>
    <w:rsid w:val="00C72465"/>
    <w:rsid w:val="00C75ADD"/>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069EA"/>
    <w:rsid w:val="00D138E2"/>
    <w:rsid w:val="00D16D77"/>
    <w:rsid w:val="00D20726"/>
    <w:rsid w:val="00D2577E"/>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0F98"/>
    <w:rsid w:val="00E41A2F"/>
    <w:rsid w:val="00E44657"/>
    <w:rsid w:val="00E50529"/>
    <w:rsid w:val="00E50BDD"/>
    <w:rsid w:val="00E51B45"/>
    <w:rsid w:val="00E5463A"/>
    <w:rsid w:val="00E547FB"/>
    <w:rsid w:val="00E55715"/>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279B"/>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242EA"/>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character" w:styleId="FollowedHyperlink">
    <w:name w:val="FollowedHyperlink"/>
    <w:basedOn w:val="DefaultParagraphFont"/>
    <w:uiPriority w:val="99"/>
    <w:semiHidden/>
    <w:unhideWhenUsed/>
    <w:rsid w:val="00E55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marcottelab/AG3C_starvation_tc" TargetMode="External"/><Relationship Id="rId13" Type="http://schemas.openxmlformats.org/officeDocument/2006/relationships/hyperlink" Target="https://github.com/umutcaglar/ecoli_multiple_growth_conditions" TargetMode="External"/><Relationship Id="rId14" Type="http://schemas.openxmlformats.org/officeDocument/2006/relationships/hyperlink" Target="http://dx.doi.org/10.18738/T8/UG3TUR" TargetMode="External"/><Relationship Id="rId15" Type="http://schemas.openxmlformats.org/officeDocument/2006/relationships/hyperlink" Target="http://www.arl.army.mi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18745-220B-4143-99B7-81FD32F5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33062</Words>
  <Characters>188460</Characters>
  <Application>Microsoft Macintosh Word</Application>
  <DocSecurity>0</DocSecurity>
  <Lines>1570</Lines>
  <Paragraphs>442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221080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11</cp:revision>
  <cp:lastPrinted>2016-10-11T17:01:00Z</cp:lastPrinted>
  <dcterms:created xsi:type="dcterms:W3CDTF">2017-02-05T21:22:00Z</dcterms:created>
  <dcterms:modified xsi:type="dcterms:W3CDTF">2017-02-15T23:47:00Z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id="4ysKnVCx"/&gt;&lt;style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