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C624C"/>
          <w:sz w:val="44"/>
          <w:szCs w:val="44"/>
        </w:rPr>
        <w:t xml:space="preserve">Markt- und Qualitätsanalyse</w:t>
      </w:r>
    </w:p>
    <w:p>
      <w:pPr>
        <w:spacing w:after="40"/>
      </w:pPr>
      <w:r>
        <w:rPr>
          <w:b/>
          <w:bCs/>
          <w:color w:val="3A2E28"/>
          <w:sz w:val="32"/>
          <w:szCs w:val="32"/>
        </w:rPr>
        <w:t xml:space="preserve">hey-fede.de</w:t>
      </w:r>
    </w:p>
    <w:p>
      <w:pPr>
        <w:spacing w:after="20"/>
      </w:pPr>
      <w:r>
        <w:rPr>
          <w:i/>
          <w:iCs/>
          <w:color w:val="5A4A3F"/>
          <w:sz w:val="21"/>
          <w:szCs w:val="21"/>
        </w:rPr>
        <w:t xml:space="preserve">Digitale Plattform von Hey Fede! Dessertbar &amp; Café, Wetzlar</w:t>
      </w:r>
    </w:p>
    <w:p>
      <w:pPr>
        <w:spacing w:after="300"/>
      </w:pPr>
      <w:r>
        <w:rPr>
          <w:color w:val="9B8F82"/>
          <w:sz w:val="19"/>
          <w:szCs w:val="19"/>
        </w:rPr>
        <w:t xml:space="preserve">Stand: 4. Juli 2026</w:t>
      </w:r>
    </w:p>
    <w:p>
      <w:pPr>
        <w:pStyle w:val="Heading1"/>
      </w:pPr>
      <w:r>
        <w:t xml:space="preserve">Zusammenfassung</w:t>
      </w:r>
    </w:p>
    <w:p>
      <w:pPr>
        <w:spacing w:after="160"/>
      </w:pPr>
      <w:r>
        <w:t xml:space="preserve">hey-fede.de ist keine klassische Gastronomie-Website, sondern eine vollwertige Bestell- und Kundenbindungsplattform mit Next.js/React-Unterstruktur, eigenem Admin-Backoffice, Gamification-System und einer für die Größenklasse ungewöhnlich weit entwickelten KI-Agenten-Infrastruktur (Schema.org, Markdown-Mirroring, MCP-Server). Die folgende Analyse schätzt den Marktwert dieser Plattform nach Fertigstellung anhand marktüblicher Vergleichspreise – ausdrücklich ohne die tatsächlich investierte Arbeitszeit als Grundlage – und bewertet die technische und gestalterische Qualität im Vergleich zu vergleichbaren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Kennzahl</w:t>
            </w:r>
          </w:p>
        </w:tc>
        <w:tc>
          <w:tcPr>
            <w:tcW w:type="dxa" w:w="6626"/>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Einschätzung</w:t>
            </w:r>
          </w:p>
        </w:tc>
      </w:tr>
      <w:tr>
        <w:tc>
          <w:tcPr>
            <w:tcW w:type="dxa" w:w="24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Marktwert (Nachbauwert)</w:t>
            </w:r>
          </w:p>
        </w:tc>
        <w:tc>
          <w:tcPr>
            <w:tcW w:type="dxa" w:w="66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55.500–109.500 € – Richtwert ca. 83.000 €</w:t>
            </w:r>
          </w:p>
        </w:tc>
      </w:tr>
      <w:tr>
        <w:tc>
          <w:tcPr>
            <w:tcW w:type="dxa" w:w="24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Qualitätseinstufung</w:t>
            </w:r>
          </w:p>
        </w:tc>
        <w:tc>
          <w:tcPr>
            <w:tcW w:type="dxa" w:w="66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Deutlich über dem Niveau vergleichbarer lokaler Gastronomie-Websites; Architektur, Testtiefe und KI-Agenten-Infrastruktur auf Startup-Produkt-Niveau</w:t>
            </w:r>
          </w:p>
        </w:tc>
      </w:tr>
      <w:tr>
        <w:tc>
          <w:tcPr>
            <w:tcW w:type="dxa" w:w="24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Auffälligster Wertreiber</w:t>
            </w:r>
          </w:p>
        </w:tc>
        <w:tc>
          <w:tcPr>
            <w:tcW w:type="dxa" w:w="66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GEO/AEO- und KI-Agenten-Bereitschaft (Schema.org, llms.txt, eigener MCP-Server) – Marktsegment, das 2026 gerade erst entsteht</w:t>
            </w:r>
          </w:p>
        </w:tc>
      </w:tr>
    </w:tbl>
    <w:p>
      <w:pPr>
        <w:spacing w:after="160"/>
      </w:pPr>
      <w:r>
        <w:t xml:space="preserve"/>
      </w:r>
    </w:p>
    <w:p>
      <w:pPr>
        <w:pStyle w:val="Heading1"/>
      </w:pPr>
      <w:r>
        <w:t xml:space="preserve">1. Projektüberblick</w:t>
      </w:r>
    </w:p>
    <w:p>
      <w:pPr>
        <w:spacing w:after="160"/>
      </w:pPr>
      <w:r>
        <w:t xml:space="preserve">Hey Fede! Dessertbar &amp; Café ist ein 2023 gegründeter, inhabergeführter Familienbetrieb in der Wetzlarer Altstadt (Langgasse 68) mit 4,8 von 5 Sternen bei über 84 Google-Bewertungen. Die Website hey-fede.de wurde als eigenständige Next.js-16-Anwendung (React 19, TypeScript, Firebase-Backend) neu aufgebaut und umfasst laut Codebasis-Analyse 43 Seiten, 75 Komponenten, 11 API-Routen und rund 27.800 Zeilen TypeScript-Code, entstanden über 71 Commits seit dem 24. Mai 2026.</w:t>
      </w:r>
    </w:p>
    <w:p>
      <w:pPr>
        <w:spacing w:after="160"/>
      </w:pPr>
      <w:r>
        <w:t xml:space="preserve">Funktional geht die Plattform weit über eine Informationsseite hinaus:</w:t>
      </w:r>
    </w:p>
    <w:p>
      <w:pPr>
        <w:pStyle w:val="ListParagraph"/>
        <w:numPr>
          <w:ilvl w:val="0"/>
          <w:numId w:val="2"/>
        </w:numPr>
        <w:spacing w:after="100"/>
      </w:pPr>
      <w:r>
        <w:t xml:space="preserve">Online-Bestellung mit Menü, Warenkorb, Checkout, Abholzeit-Auswahl und Bestellstatus-Tracking</w:t>
      </w:r>
    </w:p>
    <w:p>
      <w:pPr>
        <w:pStyle w:val="ListParagraph"/>
        <w:numPr>
          <w:ilvl w:val="0"/>
          <w:numId w:val="2"/>
        </w:numPr>
        <w:spacing w:after="100"/>
      </w:pPr>
      <w:r>
        <w:t xml:space="preserve">Admin-Backoffice mit Kanban-Board für Bestellungen, Menü-/Nutzerverwaltung und Umsatz-Dashboard</w:t>
      </w:r>
    </w:p>
    <w:p>
      <w:pPr>
        <w:pStyle w:val="ListParagraph"/>
        <w:numPr>
          <w:ilvl w:val="0"/>
          <w:numId w:val="2"/>
        </w:numPr>
        <w:spacing w:after="100"/>
      </w:pPr>
      <w:r>
        <w:t xml:space="preserve">Loyalty- und Gamification-System mit Achievements, Belohnungspunkten und Rubbelkarten</w:t>
      </w:r>
    </w:p>
    <w:p>
      <w:pPr>
        <w:pStyle w:val="ListParagraph"/>
        <w:numPr>
          <w:ilvl w:val="0"/>
          <w:numId w:val="2"/>
        </w:numPr>
        <w:spacing w:after="100"/>
      </w:pPr>
      <w:r>
        <w:t xml:space="preserve">Reservierungen, Newsletter, digitale Gutscheine, Event-/Catering-Anfragen</w:t>
      </w:r>
    </w:p>
    <w:p>
      <w:pPr>
        <w:pStyle w:val="ListParagraph"/>
        <w:numPr>
          <w:ilvl w:val="0"/>
          <w:numId w:val="2"/>
        </w:numPr>
        <w:spacing w:after="100"/>
      </w:pPr>
      <w:r>
        <w:t xml:space="preserve">Umfassende GEO/AEO-Infrastruktur (Schema.org, Markdown-Mirroring, llms.txt) sowie eine authentifizierte KI-Agenten-API mit eigenem MCP-Server</w:t>
      </w:r>
    </w:p>
    <w:p>
      <w:pPr>
        <w:spacing w:after="160"/>
      </w:pPr>
      <w:r>
        <w:t xml:space="preserve">Ein Live-Abruf von hey-fede.de am 4. Juli 2026 bestätigt: Die Seite ist produktiv, vollständig strukturiert (Open-Graph-/Twitter-Metadaten, Geo-Tags, Schema-Daten) und inhaltlich weit fortgeschritten – einzelne Feinheiten vor der endgültigen Fertigstellung sind in Kapitel 3.4 aufgeführt.</w:t>
      </w:r>
    </w:p>
    <w:p>
      <w:pPr>
        <w:pStyle w:val="Heading1"/>
      </w:pPr>
      <w:r>
        <w:t xml:space="preserve">2. Marktwertanalyse</w:t>
      </w:r>
    </w:p>
    <w:p>
      <w:pPr>
        <w:pStyle w:val="Heading2"/>
      </w:pPr>
      <w:r>
        <w:t xml:space="preserve">2.1 Methodik und Abgrenzung</w:t>
      </w:r>
    </w:p>
    <w:p>
      <w:pPr>
        <w:spacing w:after="160"/>
      </w:pPr>
      <w:r>
        <w:t xml:space="preserve">Die Bewertung erfolgt marktbasiert: Sie beantwortet die Frage, was der Bezug einer gleichwertigen Lösung am heutigen Markt kosten bzw. welchen Wert sie im Geschäftskontext hätte – nicht, wie viele Stunden tatsächlich investiert wurden. Dazu werden vier ergänzende, nicht additive Perspektiven herangezogen. Alle Preisangaben sind Richtwerte auf Basis öffentlich zugänglicher Marktdaten (Deutschland/EU, Stand Juli 2026) und verstehen sich netto.</w:t>
      </w:r>
    </w:p>
    <w:p>
      <w:pPr>
        <w:pStyle w:val="Heading2"/>
      </w:pPr>
      <w:r>
        <w:t xml:space="preserve">2.2 Ansatz A – Marktpreis-Nachbauwert (Kernkennzahl)</w:t>
      </w:r>
    </w:p>
    <w:p>
      <w:pPr>
        <w:spacing w:after="160"/>
      </w:pPr>
      <w:r>
        <w:t xml:space="preserve">Was würde es kosten, eine vergleichbare Plattform heute bei einer spezialisierten Agentur bzw. über den freien Markt zu beauftragen? Aufgeschlüsselt nach Funktionsblöcken: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tblHeader/>
        </w:trPr>
        <w:tc>
          <w:tcPr>
            <w:tcW w:type="dxa" w:w="24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Baustein</w:t>
            </w:r>
          </w:p>
        </w:tc>
        <w:tc>
          <w:tcPr>
            <w:tcW w:type="dxa" w:w="17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Marktpreis-Spanne</w:t>
            </w:r>
          </w:p>
        </w:tc>
        <w:tc>
          <w:tcPr>
            <w:tcW w:type="dxa" w:w="4926"/>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Was ist enthalten?</w:t>
            </w:r>
          </w:p>
        </w:tc>
      </w:tr>
      <w:tr>
        <w:tc>
          <w:tcPr>
            <w:tcW w:type="dxa" w:w="24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Basis-Website &amp; Content-System</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7.000–12.000 €</w:t>
            </w:r>
          </w:p>
        </w:tc>
        <w:tc>
          <w:tcPr>
            <w:tcW w:type="dxa" w:w="49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43 Routen, eigenes Design-System („hey-fede-kit“), SEO-Grundlagen, rechtliche Seiten</w:t>
            </w:r>
          </w:p>
        </w:tc>
      </w:tr>
      <w:tr>
        <w:tc>
          <w:tcPr>
            <w:tcW w:type="dxa" w:w="24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Online-Bestellung &amp; Checkout</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15.000–28.000 €</w:t>
            </w:r>
          </w:p>
        </w:tc>
        <w:tc>
          <w:tcPr>
            <w:tcW w:type="dxa" w:w="49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Menü, Warenkorb, Checkout, Order-Tracking, Abholzeit-Slots, Zahlungsvorbereitung</w:t>
            </w:r>
          </w:p>
        </w:tc>
      </w:tr>
      <w:tr>
        <w:tc>
          <w:tcPr>
            <w:tcW w:type="dxa" w:w="24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Admin-Backoffice</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10.000–18.000 €</w:t>
            </w:r>
          </w:p>
        </w:tc>
        <w:tc>
          <w:tcPr>
            <w:tcW w:type="dxa" w:w="49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Kanban-Board für Bestellungen, Menü-/Nutzerverwaltung, Umsatz-Dashboard</w:t>
            </w:r>
          </w:p>
        </w:tc>
      </w:tr>
      <w:tr>
        <w:tc>
          <w:tcPr>
            <w:tcW w:type="dxa" w:w="24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Loyalty- &amp; Gamification-System</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7.000–14.000 €</w:t>
            </w:r>
          </w:p>
        </w:tc>
        <w:tc>
          <w:tcPr>
            <w:tcW w:type="dxa" w:w="49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Achievements, Belohnungspunkte, Rubbelkarten, Konfetti-Momente, Firebase-Sync</w:t>
            </w:r>
          </w:p>
        </w:tc>
      </w:tr>
      <w:tr>
        <w:tc>
          <w:tcPr>
            <w:tcW w:type="dxa" w:w="24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GEO/AEO- &amp; KI-Agenten-Infrastruktur</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8.000–20.000 €</w:t>
            </w:r>
          </w:p>
        </w:tc>
        <w:tc>
          <w:tcPr>
            <w:tcW w:type="dxa" w:w="49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Schema.org, Markdown-Mirroring, llms.txt, eigener MCP-Server, authentifizierte Agent-API</w:t>
            </w:r>
          </w:p>
        </w:tc>
      </w:tr>
      <w:tr>
        <w:tc>
          <w:tcPr>
            <w:tcW w:type="dxa" w:w="24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Automatisierte Testinfrastruktur</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6.000–12.000 €</w:t>
            </w:r>
          </w:p>
        </w:tc>
        <w:tc>
          <w:tcPr>
            <w:tcW w:type="dxa" w:w="49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69 E2E-Szenarien über 3 Browser-Engines, Unit-Tests, Coverage-Reporting, Git-Hooks</w:t>
            </w:r>
          </w:p>
        </w:tc>
      </w:tr>
      <w:tr>
        <w:tc>
          <w:tcPr>
            <w:tcW w:type="dxa" w:w="24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Docker-/DevOps-Containerisierung</w:t>
            </w:r>
          </w:p>
        </w:tc>
        <w:tc>
          <w:tcPr>
            <w:tcW w:type="dxa" w:w="17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1.500–3.000 €</w:t>
            </w:r>
          </w:p>
        </w:tc>
        <w:tc>
          <w:tcPr>
            <w:tcW w:type="dxa" w:w="49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Produktionsreifes Multi-Stage-Setup, zusätzlich zum bestehenden Vercel-Deployment</w:t>
            </w:r>
          </w:p>
        </w:tc>
      </w:tr>
      <w:tr>
        <w:tc>
          <w:tcPr>
            <w:tcW w:type="dxa" w:w="24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Rechtliches &amp; Compliance</w:t>
            </w:r>
          </w:p>
        </w:tc>
        <w:tc>
          <w:tcPr>
            <w:tcW w:type="dxa" w:w="17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1.000–2.500 €</w:t>
            </w:r>
          </w:p>
        </w:tc>
        <w:tc>
          <w:tcPr>
            <w:tcW w:type="dxa" w:w="49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Cookie-Consent, AGB/Datenschutz/Impressum, Legal-UI-Komponenten</w:t>
            </w:r>
          </w:p>
        </w:tc>
      </w:tr>
    </w:tbl>
    <w:p>
      <w:pPr>
        <w:spacing w:after="160"/>
      </w:pPr>
      <w:r>
        <w:rPr>
          <w:b/>
          <w:bCs/>
        </w:rPr>
        <w:t xml:space="preserve">Summe: 55.500–109.500 €, Richtwert (Mittelwert, gerundet): 83.000 €.</w:t>
      </w:r>
    </w:p>
    <w:p>
      <w:pPr>
        <w:pBdr>
          <w:left w:val="single" w:color="CC624C" w:sz="12" w:space="8"/>
        </w:pBdr>
        <w:spacing w:after="200" w:before="80"/>
      </w:pPr>
      <w:r>
        <w:rPr>
          <w:i/>
          <w:iCs/>
          <w:color w:val="5A4A3F"/>
          <w:sz w:val="19"/>
          <w:szCs w:val="19"/>
        </w:rPr>
        <w:t xml:space="preserve">Zum Vergleich: Eine durchschnittliche individuelle Restaurant-Website ohne Bestell- und Admin-Funktionen liegt in Deutschland 2026 bei ca. 1.500–6.000 €; ein vergleichbarer individueller Web-App-Build mit E-Commerce, Backoffice und Testautomatisierung bewegt sich im internationalen Agenturmarkt häufig im mittleren bis hohen fünfstelligen Bereich.</w:t>
      </w:r>
    </w:p>
    <w:p>
      <w:pPr>
        <w:pStyle w:val="Heading2"/>
      </w:pPr>
      <w:r>
        <w:t xml:space="preserve">2.3 Ansatz B – Vermiedene Fremdbezugskosten (jährliche Opportunitätskosten)</w:t>
      </w:r>
    </w:p>
    <w:p>
      <w:pPr>
        <w:spacing w:after="160"/>
      </w:pPr>
      <w:r>
        <w:t xml:space="preserve">Alternativ ließe sich ein Großteil der Funktionen über bestehende SaaS-Lösungen mieten statt zu besitzen. Die jährlichen Abo-Kosten, die durch die Eigenentwicklung entfallen, liegen größenordnungsmäßig bei: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Baustein</w:t>
            </w:r>
          </w:p>
        </w:tc>
        <w:tc>
          <w:tcPr>
            <w:tcW w:type="dxa" w:w="18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Marktübliche Kosten/Jahr</w:t>
            </w:r>
          </w:p>
        </w:tc>
        <w:tc>
          <w:tcPr>
            <w:tcW w:type="dxa" w:w="4626"/>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Quelle/Anmerkung</w:t>
            </w:r>
          </w:p>
        </w:tc>
      </w:tr>
      <w:tr>
        <w:tc>
          <w:tcPr>
            <w:tcW w:type="dxa" w:w="26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Website-Baukasten + Hosting</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360–900 €</w:t>
            </w:r>
          </w:p>
        </w:tc>
        <w:tc>
          <w:tcPr>
            <w:tcW w:type="dxa" w:w="46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Vergleichbare Template-/Baukasten-Lösung inkl. Hosting</w:t>
            </w:r>
          </w:p>
        </w:tc>
      </w:tr>
      <w:tr>
        <w:tc>
          <w:tcPr>
            <w:tcW w:type="dxa" w:w="26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Online-Bestell-SaaS</w:t>
            </w:r>
          </w:p>
        </w:tc>
        <w:tc>
          <w:tcPr>
            <w:tcW w:type="dxa" w:w="18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700–1.200 €</w:t>
            </w:r>
          </w:p>
        </w:tc>
        <w:tc>
          <w:tcPr>
            <w:tcW w:type="dxa" w:w="46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z. B. Web-/App-Tarif eines Bestellsystem-Anbieters</w:t>
            </w:r>
          </w:p>
        </w:tc>
      </w:tr>
      <w:tr>
        <w:tc>
          <w:tcPr>
            <w:tcW w:type="dxa" w:w="26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Kassen-/Ordermanagement-SaaS</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850–2.000 €</w:t>
            </w:r>
          </w:p>
        </w:tc>
        <w:tc>
          <w:tcPr>
            <w:tcW w:type="dxa" w:w="46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Vergleichbare Kassensystem-Anbieter, Basis- bis Mitteltarif</w:t>
            </w:r>
          </w:p>
        </w:tc>
      </w:tr>
      <w:tr>
        <w:tc>
          <w:tcPr>
            <w:tcW w:type="dxa" w:w="26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Loyalty-/Kundenbindungs-SaaS</w:t>
            </w:r>
          </w:p>
        </w:tc>
        <w:tc>
          <w:tcPr>
            <w:tcW w:type="dxa" w:w="18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1.200–3.000 €</w:t>
            </w:r>
          </w:p>
        </w:tc>
        <w:tc>
          <w:tcPr>
            <w:tcW w:type="dxa" w:w="46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Abo-Plattform statt eigenem Gamification-System</w:t>
            </w:r>
          </w:p>
        </w:tc>
      </w:tr>
    </w:tbl>
    <w:p>
      <w:pPr>
        <w:spacing w:after="160"/>
      </w:pPr>
      <w:r>
        <w:rPr>
          <w:b/>
          <w:bCs/>
        </w:rPr>
        <w:t xml:space="preserve">Summe: ca. 3.110–7.100 € pro Jahr an vermiedenen SaaS-Gebühren.</w:t>
      </w:r>
    </w:p>
    <w:p>
      <w:pPr>
        <w:spacing w:after="160"/>
      </w:pPr>
      <w:r>
        <w:t xml:space="preserve">Zwei weitere Effekte sind deutlich größer, aber variabel und daher separat zu betrachten:</w:t>
      </w:r>
    </w:p>
    <w:p>
      <w:pPr>
        <w:pStyle w:val="ListParagraph"/>
        <w:numPr>
          <w:ilvl w:val="0"/>
          <w:numId w:val="2"/>
        </w:numPr>
        <w:spacing w:after="100"/>
      </w:pPr>
      <w:r>
        <w:t xml:space="preserve">Liefer-/Vermittlungsprovisionen: Plattformen wie Lieferando verlangen 13 % (Selbstlieferung) bis 25–30 % (Plattform-Lieferung) pro Bestellung zzgl. einer Servicegebühr von aktuell ca. 5 % (gedeckelt auf 0,99 €). Jeder Euro Umsatz, der über den eigenen Bestellkanal statt über eine Vermittlungsplattform läuft, spart diese Provision dauerhaft – die konkrete Höhe hängt vom tatsächlichen Bestellvolumen über die eigene Seite ab.</w:t>
      </w:r>
    </w:p>
    <w:p>
      <w:pPr>
        <w:pStyle w:val="ListParagraph"/>
        <w:numPr>
          <w:ilvl w:val="0"/>
          <w:numId w:val="2"/>
        </w:numPr>
        <w:spacing w:after="100"/>
      </w:pPr>
      <w:r>
        <w:t xml:space="preserve">GEO/AEO-Agenturbetreuung: Ein vergleichbares Niveau an KI-Suchmaschinen-Bereitschaft laufend von einer Agentur aufbauen und pflegen zu lassen, kostet laut aktueller Marktrecherche ca. 3.000–10.000 €+ pro Monat (36.000–120.000 €+ pro Jahr). Bei hey-fede.de ist diese Infrastruktur bereits einmalig gebaut und im Eigenbesitz – das ist der mit Abstand größte Hebel in Ansatz B, aber nicht direkt mit Ansatz A zu addieren, da es sich um dieselbe Leistung aus zwei Blickwinkeln handelt.</w:t>
      </w:r>
    </w:p>
    <w:p>
      <w:pPr>
        <w:pStyle w:val="Heading2"/>
      </w:pPr>
      <w:r>
        <w:t xml:space="preserve">2.4 Ansatz C – Beitrag zum Unternehmenswert (M&amp;A-Perspektive)</w:t>
      </w:r>
    </w:p>
    <w:p>
      <w:pPr>
        <w:spacing w:after="160"/>
      </w:pPr>
      <w:r>
        <w:t xml:space="preserve">Bei einem Verkauf des Gesamtbetriebs wird Gastronomie in Deutschland überwiegend über Multiplikatoren auf den bereinigten Jahresgewinn bewertet – üblich sind das 2- bis 4-Fache, wobei gut bewertete, gut ausgelastete Betriebe mit planbaren Umsätzen (Reservierungen, Stammkundschaft, Bewertungsschnitt) tendenziell den oberen Rand erreichen. Eine professionalisierte digitale Infrastruktur wie die vorliegende – eigener Bestellkanal, Kundendaten über Loyalty/Newsletter, 4,8-Sterne-Bewertung, reduzierte Abhängigkeit von Vermittlungsplattformen – wirkt tendenziell multiplikatorsteigernd, weil sie Umsätze planbarer und den Betrieb weniger abhängig von Dritt-Plattformen macht.</w:t>
      </w:r>
    </w:p>
    <w:p>
      <w:pPr>
        <w:spacing w:after="160"/>
      </w:pPr>
      <w:r>
        <w:t xml:space="preserve">Rein illustrativ (nicht die tatsächlichen Zahlen von Hey Fede!): Bei einem angenommenen bereinigten Jahresgewinn von 60.000 € würde allein eine Anhebung des Multiplikators von 2,5x auf 3,5x durch besser dokumentierte, planbare Umsätze und Prozesse einen Unterschied von 60.000 € im Unternehmenswert ausmachen – ein Effekt in ähnlicher Größenordnung wie der Nachbauwert aus Ansatz A. Für eine belastbare Aussage sind die tatsächlichen Bilanzzahlen des Betriebs nötig.</w:t>
      </w:r>
    </w:p>
    <w:p>
      <w:pPr>
        <w:pStyle w:val="Heading2"/>
      </w:pPr>
      <w:r>
        <w:t xml:space="preserve">2.5 Ansatz D – Optionalität: Produktisierungspotenzial (Ausblick)</w:t>
      </w:r>
    </w:p>
    <w:p>
      <w:pPr>
        <w:spacing w:after="160"/>
      </w:pPr>
      <w:r>
        <w:t xml:space="preserve">Die modulare, gut getestete Codebasis ließe sich grundsätzlich als White-Label-Lösung für weitere unabhängige Dessert-/Eiscafés lizenzieren – vergleichbare White-Label-Bestellsysteme werden am Markt für ca. 39–99 US-Dollar pro Monat und Standort angeboten. Dies ist heute nicht Teil des Ist-Zustands (es fehlt Mandantenfähigkeit/Multi-Tenancy) und wird hier nur als strategische Option, nicht als Teil der aktuellen Bewertung, genannt.</w:t>
      </w:r>
    </w:p>
    <w:p>
      <w:pPr>
        <w:pStyle w:val="Heading2"/>
      </w:pPr>
      <w:r>
        <w:t xml:space="preserve">2.6 Gesamteinschätzung</w:t>
      </w:r>
    </w:p>
    <w:p>
      <w:pPr>
        <w:spacing w:after="160"/>
      </w:pPr>
      <w:r>
        <w:rPr>
          <w:b/>
          <w:bCs/>
        </w:rPr>
        <w:t xml:space="preserve">Als zentrale Marktwert-Kennzahl – der Nachbauwert zu heutigen Marktpreisen, ohne Ansatz der eigenen Arbeitszeit – ergibt sich eine Spanne von 55.500–109.500 €, mit einem Richtwert von rund 83.000 €. Hinzu kommt strategischer Wert, der über die reine Software-Nachbausumme hinausgeht: laufend vermiedene SaaS- und Provisionskosten (Ansatz B) sowie ein potenzieller, aber von den realen Geschäftszahlen abhängiger Beitrag zu einem höheren Unternehmens-Multiplikator bei einem etwaigen Verkauf (Ansatz C).</w:t>
      </w:r>
    </w:p>
    <w:p>
      <w:pPr>
        <w:pStyle w:val="Heading1"/>
      </w:pPr>
      <w:r>
        <w:t xml:space="preserve">3. Qualitätsanalyse: Wie „krass“ ist hey-fede.de?</w:t>
      </w:r>
    </w:p>
    <w:p>
      <w:pPr>
        <w:pStyle w:val="Heading2"/>
      </w:pPr>
      <w:r>
        <w:t xml:space="preserve">3.1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Kategorie</w:t>
            </w:r>
          </w:p>
        </w:tc>
        <w:tc>
          <w:tcPr>
            <w:tcW w:type="dxa" w:w="1800"/>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Einstufung</w:t>
            </w:r>
          </w:p>
        </w:tc>
        <w:tc>
          <w:tcPr>
            <w:tcW w:type="dxa" w:w="5026"/>
            <w:tcBorders>
              <w:top w:val="single" w:color="D9D2C8" w:sz="2"/>
              <w:left w:val="single" w:color="D9D2C8" w:sz="2"/>
              <w:bottom w:val="single" w:color="D9D2C8" w:sz="2"/>
              <w:right w:val="single" w:color="D9D2C8" w:sz="2"/>
            </w:tcBorders>
            <w:shd w:fill="3A2E28" w:val="clear"/>
            <w:tcMar>
              <w:top w:type="dxa" w:w="90"/>
              <w:left w:type="dxa" w:w="130"/>
              <w:bottom w:type="dxa" w:w="90"/>
              <w:right w:type="dxa" w:w="130"/>
            </w:tcMar>
            <w:vAlign w:val="center"/>
          </w:tcPr>
          <w:p>
            <w:r>
              <w:rPr>
                <w:b/>
                <w:bCs/>
                <w:color w:val="FFFFFF"/>
                <w:sz w:val="19"/>
                <w:szCs w:val="19"/>
              </w:rPr>
              <w:t xml:space="preserve">Begründung</w:t>
            </w:r>
          </w:p>
        </w:tc>
      </w:tr>
      <w:tr>
        <w:tc>
          <w:tcPr>
            <w:tcW w:type="dxa" w:w="22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Code-Architektur &amp; Wartbarkeit</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Sehr gut</w:t>
            </w:r>
          </w:p>
        </w:tc>
        <w:tc>
          <w:tcPr>
            <w:tcW w:type="dxa" w:w="50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Konsequentes TypeScript, atomares Komponentenmodell, saubere lib/store/hooks-Trennung, ESLint mit 0 Fehlern (262 stilistische Warnungen, überwiegend in Testdateien)</w:t>
            </w:r>
          </w:p>
        </w:tc>
      </w:tr>
      <w:tr>
        <w:tc>
          <w:tcPr>
            <w:tcW w:type="dxa" w:w="22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Testabdeckung &amp; Qualitätssicherung</w:t>
            </w:r>
          </w:p>
        </w:tc>
        <w:tc>
          <w:tcPr>
            <w:tcW w:type="dxa" w:w="18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Herausragend</w:t>
            </w:r>
          </w:p>
        </w:tc>
        <w:tc>
          <w:tcPr>
            <w:tcW w:type="dxa" w:w="50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69 E2E-Szenarien über Chromium/Firefox/WebKit (207 Testläufe), Unit-Tests mit 74–87 % Coverage auf Kernlogik, Lighthouse-CI, automatisierte Pre-Commit-Hooks</w:t>
            </w:r>
          </w:p>
        </w:tc>
      </w:tr>
      <w:tr>
        <w:tc>
          <w:tcPr>
            <w:tcW w:type="dxa" w:w="22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Funktionstiefe</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Sehr gut bis herausragend</w:t>
            </w:r>
          </w:p>
        </w:tc>
        <w:tc>
          <w:tcPr>
            <w:tcW w:type="dxa" w:w="50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Echtes Bestellsystem statt Broschürenseite: Checkout, Admin-Backoffice mit Kanban-Board, Reservierung, Loyalty, Gutscheine, Newsletter</w:t>
            </w:r>
          </w:p>
        </w:tc>
      </w:tr>
      <w:tr>
        <w:tc>
          <w:tcPr>
            <w:tcW w:type="dxa" w:w="22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SEO / GEO / AEO</w:t>
            </w:r>
          </w:p>
        </w:tc>
        <w:tc>
          <w:tcPr>
            <w:tcW w:type="dxa" w:w="18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Herausragend, Vorreiterrolle</w:t>
            </w:r>
          </w:p>
        </w:tc>
        <w:tc>
          <w:tcPr>
            <w:tcW w:type="dxa" w:w="50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Tiefe Schema.org-Struktur, Markdown-Spiegel für LLM-Crawler, llms.txt/llms-full.txt, 8 lokale SEO-Landingpages</w:t>
            </w:r>
          </w:p>
        </w:tc>
      </w:tr>
      <w:tr>
        <w:tc>
          <w:tcPr>
            <w:tcW w:type="dxa" w:w="22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KI-Agenten-Bereitschaft</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Herausragend, Alleinstellungsmerkmal</w:t>
            </w:r>
          </w:p>
        </w:tc>
        <w:tc>
          <w:tcPr>
            <w:tcW w:type="dxa" w:w="50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Eigener MCP-Server und authentifizierte Agent-API mit Rate-Limiting – für einen Betrieb dieser Größe außergewöhnlich selten</w:t>
            </w:r>
          </w:p>
        </w:tc>
      </w:tr>
      <w:tr>
        <w:tc>
          <w:tcPr>
            <w:tcW w:type="dxa" w:w="22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UX / Design / Markenerlebnis</w:t>
            </w:r>
          </w:p>
        </w:tc>
        <w:tc>
          <w:tcPr>
            <w:tcW w:type="dxa" w:w="18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Sehr gut</w:t>
            </w:r>
          </w:p>
        </w:tc>
        <w:tc>
          <w:tcPr>
            <w:tcW w:type="dxa" w:w="50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Eigenständiges Brand-Kit, verspielte Mikro-Interaktionen (Physics-Playground, Rubbelkarten, Konfetti, Holo-Tilt-Karten)</w:t>
            </w:r>
          </w:p>
        </w:tc>
      </w:tr>
      <w:tr>
        <w:tc>
          <w:tcPr>
            <w:tcW w:type="dxa" w:w="22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Sicherheit</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Gut bis sehr gut</w:t>
            </w:r>
          </w:p>
        </w:tc>
        <w:tc>
          <w:tcPr>
            <w:tcW w:type="dxa" w:w="50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Zod-Validierung auf allen API-Eingaben, Rate-Limiting, Session-Verschlüsselung im Admin-Bereich, sicher gestaffelte API-Key-Fallbacks</w:t>
            </w:r>
          </w:p>
        </w:tc>
      </w:tr>
      <w:tr>
        <w:tc>
          <w:tcPr>
            <w:tcW w:type="dxa" w:w="22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bCs/>
                <w:sz w:val="19"/>
                <w:szCs w:val="19"/>
              </w:rPr>
              <w:t xml:space="preserve">Technologie-Aktualität</w:t>
            </w:r>
          </w:p>
        </w:tc>
        <w:tc>
          <w:tcPr>
            <w:tcW w:type="dxa" w:w="1800"/>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Herausragend</w:t>
            </w:r>
          </w:p>
        </w:tc>
        <w:tc>
          <w:tcPr>
            <w:tcW w:type="dxa" w:w="5026"/>
            <w:tcBorders>
              <w:top w:val="single" w:color="D9D2C8" w:sz="2"/>
              <w:left w:val="single" w:color="D9D2C8" w:sz="2"/>
              <w:bottom w:val="single" w:color="D9D2C8" w:sz="2"/>
              <w:right w:val="single" w:color="D9D2C8" w:sz="2"/>
            </w:tcBorders>
            <w:shd w:fill="F7F3EC" w:val="clear"/>
            <w:tcMar>
              <w:top w:type="dxa" w:w="90"/>
              <w:left w:type="dxa" w:w="130"/>
              <w:bottom w:type="dxa" w:w="90"/>
              <w:right w:type="dxa" w:w="130"/>
            </w:tcMar>
            <w:vAlign w:val="center"/>
          </w:tcPr>
          <w:p>
            <w:r>
              <w:rPr>
                <w:b w:val="false"/>
                <w:bCs w:val="false"/>
                <w:sz w:val="19"/>
                <w:szCs w:val="19"/>
              </w:rPr>
              <w:t xml:space="preserve">Next.js 16 mit Turbopack, React 19, Tailwind 4 – durchgängig aktuelle stabile Versionen</w:t>
            </w:r>
          </w:p>
        </w:tc>
      </w:tr>
      <w:tr>
        <w:tc>
          <w:tcPr>
            <w:tcW w:type="dxa" w:w="22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bCs/>
                <w:sz w:val="19"/>
                <w:szCs w:val="19"/>
              </w:rPr>
              <w:t xml:space="preserve">Betriebsreife / DevOps</w:t>
            </w:r>
          </w:p>
        </w:tc>
        <w:tc>
          <w:tcPr>
            <w:tcW w:type="dxa" w:w="1800"/>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Sehr gut</w:t>
            </w:r>
          </w:p>
        </w:tc>
        <w:tc>
          <w:tcPr>
            <w:tcW w:type="dxa" w:w="5026"/>
            <w:tcBorders>
              <w:top w:val="single" w:color="D9D2C8" w:sz="2"/>
              <w:left w:val="single" w:color="D9D2C8" w:sz="2"/>
              <w:bottom w:val="single" w:color="D9D2C8" w:sz="2"/>
              <w:right w:val="single" w:color="D9D2C8" w:sz="2"/>
            </w:tcBorders>
            <w:shd w:fill="FFFFFF" w:val="clear"/>
            <w:tcMar>
              <w:top w:type="dxa" w:w="90"/>
              <w:left w:type="dxa" w:w="130"/>
              <w:bottom w:type="dxa" w:w="90"/>
              <w:right w:type="dxa" w:w="130"/>
            </w:tcMar>
            <w:vAlign w:val="center"/>
          </w:tcPr>
          <w:p>
            <w:r>
              <w:rPr>
                <w:b w:val="false"/>
                <w:bCs w:val="false"/>
                <w:sz w:val="19"/>
                <w:szCs w:val="19"/>
              </w:rPr>
              <w:t xml:space="preserve">Produktionsreifes Docker-Setup zusätzlich zum bestehenden Vercel-Deployment, ohne dieses zu gefährden</w:t>
            </w:r>
          </w:p>
        </w:tc>
      </w:tr>
    </w:tbl>
    <w:p>
      <w:pPr>
        <w:pStyle w:val="Heading2"/>
      </w:pPr>
      <w:r>
        <w:t xml:space="preserve">3.2 Was diese Plattform von typischen Wettbewerbern abhebt</w:t>
      </w:r>
    </w:p>
    <w:p>
      <w:pPr>
        <w:spacing w:after="160"/>
      </w:pPr>
      <w:r>
        <w:t xml:space="preserve">Der auffälligste Unterschied zu praktisch jeder anderen lokalen Café- oder Restaurant-Website liegt in der KI-Agenten-Bereitschaft: hey-fede.de betreibt einen eigenen MCP-Server (Model Context Protocol) und eine authentifizierte Agent-API mit Rate-Limiting. Laut aktuellen Marktanalysen hat sich MCP 2026 zum De-facto-Standard für die Anbindung von KI-Agenten entwickelt (über 10.000 aktive MCP-Server, 97 Mio.+ monatliche SDK-Downloads), und Prognosen gehen von einem US-Markt für ‚agentic commerce‘ von 300–500 Mrd. US-Dollar bis 2030 aus. Von KI-Systemen vermittelte Besucher weisen laut Adobe-Analytics-Daten eine 38 % höhere Kaufabschlussquote auf als klassische Suchbesucher.</w:t>
      </w:r>
    </w:p>
    <w:p>
      <w:pPr>
        <w:spacing w:after="160"/>
      </w:pPr>
      <w:r>
        <w:t xml:space="preserve">Für einen Betrieb dieser Größenordnung – ein einzelner Standort in Wetzlar – ist diese Infrastruktur untypisch weit fortgeschritten und positioniert Hey Fede! unter den frühen Vorreitern in einem Marktsegment, das für die meisten kleinen Gastronomiebetriebe noch gar nicht existiert. In Kombination mit der Testabdeckung (69 E2E-Szenarien über drei Browser-Engines) und der Funktionstiefe (eigenes Bestellsystem samt Backoffice statt reiner Informationsseite) liegt die technische Substanz der Plattform näher an einem professionell gebauten Startup-Produkt als an einer typischen Handwerker- oder Gastronomie-Website.</w:t>
      </w:r>
    </w:p>
    <w:p>
      <w:pPr>
        <w:pStyle w:val="Heading2"/>
      </w:pPr>
      <w:r>
        <w:t xml:space="preserve">3.3 Technischer Gesundheitscheck (verifiziert)</w:t>
      </w:r>
    </w:p>
    <w:p>
      <w:pPr>
        <w:pStyle w:val="ListParagraph"/>
        <w:numPr>
          <w:ilvl w:val="0"/>
          <w:numId w:val="2"/>
        </w:numPr>
        <w:spacing w:after="100"/>
      </w:pPr>
      <w:r>
        <w:t xml:space="preserve">ESLint: 0 Fehler, 262 Warnungen (überwiegend any-Typisierungen in Testdateien) – sauberer Produktivcode.</w:t>
      </w:r>
    </w:p>
    <w:p>
      <w:pPr>
        <w:pStyle w:val="ListParagraph"/>
        <w:numPr>
          <w:ilvl w:val="0"/>
          <w:numId w:val="2"/>
        </w:numPr>
        <w:spacing w:after="100"/>
      </w:pPr>
      <w:r>
        <w:t xml:space="preserve">Testabdeckung laut vorliegendem Coverage-Report (lib/, hooks/, store/, atoms/): Statements 86,5 %, Functions 85,5 %, Lines 87,1 %, Branches 73,6 %.</w:t>
      </w:r>
    </w:p>
    <w:p>
      <w:pPr>
        <w:pStyle w:val="ListParagraph"/>
        <w:numPr>
          <w:ilvl w:val="0"/>
          <w:numId w:val="2"/>
        </w:numPr>
        <w:spacing w:after="100"/>
      </w:pPr>
      <w:r>
        <w:t xml:space="preserve">Live-Abruf von hey-fede.de bestätigt vollständige Metadaten (Open Graph, Twitter Cards, Geo-Tags) und produktiven Betrieb.</w:t>
      </w:r>
    </w:p>
    <w:p>
      <w:pPr>
        <w:pStyle w:val="ListParagraph"/>
        <w:numPr>
          <w:ilvl w:val="0"/>
          <w:numId w:val="2"/>
        </w:numPr>
        <w:spacing w:after="100"/>
      </w:pPr>
      <w:r>
        <w:t xml:space="preserve">Die Vitest-Suite konnte im Prüf-Sandbox wegen einer plattformspezifischen Native-Binding-Inkompatibilität (arm64) nicht ausgeführt werden – dies ist ein Umgebungsproblem, kein Hinweis auf einen Code-Fehler; ein regulärer Testlauf in der Entwicklungsumgebung/CI wird empfohlen.</w:t>
      </w:r>
    </w:p>
    <w:p>
      <w:pPr>
        <w:pStyle w:val="Heading2"/>
      </w:pPr>
      <w:r>
        <w:t xml:space="preserve">3.4 Offene Punkte vor der finalen Fertigstellung</w:t>
      </w:r>
    </w:p>
    <w:p>
      <w:pPr>
        <w:pStyle w:val="ListParagraph"/>
        <w:numPr>
          <w:ilvl w:val="0"/>
          <w:numId w:val="2"/>
        </w:numPr>
        <w:spacing w:after="100"/>
      </w:pPr>
      <w:r>
        <w:t xml:space="preserve">Vereinzelte Stock-Bildreste (z. B. ein Unsplash-Platzhalterbild auf der Startseite) sind noch nicht durch eigene Fotos ersetzt.</w:t>
      </w:r>
    </w:p>
    <w:p>
      <w:pPr>
        <w:pStyle w:val="ListParagraph"/>
        <w:numPr>
          <w:ilvl w:val="0"/>
          <w:numId w:val="2"/>
        </w:numPr>
        <w:spacing w:after="100"/>
      </w:pPr>
      <w:r>
        <w:t xml:space="preserve">Ein Navigationslink zeigt den Rohpfad „/auth“ statt eines sprechenden Labels (z. B. „Konto“ oder „Anmelden“).</w:t>
      </w:r>
    </w:p>
    <w:p>
      <w:pPr>
        <w:pStyle w:val="ListParagraph"/>
        <w:numPr>
          <w:ilvl w:val="0"/>
          <w:numId w:val="2"/>
        </w:numPr>
        <w:spacing w:after="100"/>
      </w:pPr>
      <w:r>
        <w:t xml:space="preserve">Die Öffnungszeiten in llms.txt (Mi–Sa 12–19 Uhr, So 13–19 Uhr) weichen von den im Live-Footer angezeigten Zeiten (Mo–Fr 12–20 Uhr, Sa/So 10–20 Uhr) ab – gerade für KI-Agenten relevant, da diese sich auf llms.txt verlassen.</w:t>
      </w:r>
    </w:p>
    <w:p>
      <w:pPr>
        <w:pStyle w:val="ListParagraph"/>
        <w:numPr>
          <w:ilvl w:val="0"/>
          <w:numId w:val="2"/>
        </w:numPr>
        <w:spacing w:after="100"/>
      </w:pPr>
      <w:r>
        <w:t xml:space="preserve">Entwickler-/Testrouten (/poc, /firebase-test, /test-realtime) sind noch öffentlich im Routing erreichbar.</w:t>
      </w:r>
    </w:p>
    <w:p>
      <w:pPr>
        <w:pStyle w:val="ListParagraph"/>
        <w:numPr>
          <w:ilvl w:val="0"/>
          <w:numId w:val="2"/>
        </w:numPr>
        <w:spacing w:after="100"/>
      </w:pPr>
      <w:r>
        <w:t xml:space="preserve">262 ESLint-Warnungen (0 Fehler), überwiegend any-Typisierungen in Testdateien – funktional unkritisch, aber vor Projektabschluss bereinigbar.</w:t>
      </w:r>
    </w:p>
    <w:p>
      <w:pPr>
        <w:pStyle w:val="ListParagraph"/>
        <w:numPr>
          <w:ilvl w:val="0"/>
          <w:numId w:val="2"/>
        </w:numPr>
        <w:spacing w:after="100"/>
      </w:pPr>
      <w:r>
        <w:t xml:space="preserve">Die Vitest-Suite ließ sich im Prüf-Sandbox wegen einer plattformspezifischen Native-Binding-Inkompatibilität nicht ausführen (kein Code-Fehler) – Testlauf sollte in der regulären Entwicklungsumgebung/CI verifiziert werden.</w:t>
      </w:r>
    </w:p>
    <w:p>
      <w:pPr>
        <w:pStyle w:val="Heading1"/>
      </w:pPr>
      <w:r>
        <w:t xml:space="preserve">4. Einschränkungen und Hinweise</w:t>
      </w:r>
    </w:p>
    <w:p>
      <w:pPr>
        <w:spacing w:after="160"/>
      </w:pPr>
      <w:r>
        <w:t xml:space="preserve">Diese Analyse ersetzt keine rechtliche, steuerliche oder finanzielle Beratung und stellt kein förmliches Wertgutachten dar. Alle Preisangaben sind Richtwerte auf Basis öffentlich zugänglicher Marktdaten (Stand: Juli 2026) und dienen der Einordnung – nicht als verbindliche Grundlage für Kauf-, Verkaufs- oder Finanzierungsentscheidungen. Für eine belastbare Unternehmens- oder Asset-Bewertung, etwa im Rahmen eines Verkaufs, wird die Hinzuziehung eines Steuerberaters oder unabhängigen Gutachters empfohlen.</w:t>
      </w:r>
    </w:p>
    <w:p>
      <w:pPr>
        <w:pStyle w:val="Heading1"/>
      </w:pPr>
      <w:r>
        <w:t xml:space="preserve">5. Quellen</w:t>
      </w:r>
    </w:p>
    <w:p>
      <w:pPr>
        <w:pStyle w:val="ListParagraph"/>
        <w:numPr>
          <w:ilvl w:val="0"/>
          <w:numId w:val="2"/>
        </w:numPr>
        <w:spacing w:after="60"/>
      </w:pPr>
      <w:r>
        <w:t xml:space="preserve">Restaurant-Website erstellen lassen: Kosten 2026 (Sascha Fix) – </w:t>
      </w:r>
      <w:hyperlink w:history="1" r:id="rId7uhynhcok7ufpnrqjodqs">
        <w:r>
          <w:rPr>
            <w:rStyle w:val="Hyperlink"/>
          </w:rPr>
          <w:t xml:space="preserve">https://saschafix.de/wissen/blog-articles/restaurant-website-erstellen-lassen/</w:t>
        </w:r>
      </w:hyperlink>
    </w:p>
    <w:p>
      <w:pPr>
        <w:pStyle w:val="ListParagraph"/>
        <w:numPr>
          <w:ilvl w:val="0"/>
          <w:numId w:val="2"/>
        </w:numPr>
        <w:spacing w:after="60"/>
      </w:pPr>
      <w:r>
        <w:t xml:space="preserve">Was kostet eine Restaurant-Website? (fs-webentwicklung.de) – </w:t>
      </w:r>
      <w:hyperlink w:history="1" r:id="rIdhqw9dp-gg2ah8v56phibu">
        <w:r>
          <w:rPr>
            <w:rStyle w:val="Hyperlink"/>
          </w:rPr>
          <w:t xml:space="preserve">https://fs-webentwicklung.de/blogs/was-kostet-eine-restaurant-website/</w:t>
        </w:r>
      </w:hyperlink>
    </w:p>
    <w:p>
      <w:pPr>
        <w:pStyle w:val="ListParagraph"/>
        <w:numPr>
          <w:ilvl w:val="0"/>
          <w:numId w:val="2"/>
        </w:numPr>
        <w:spacing w:after="60"/>
      </w:pPr>
      <w:r>
        <w:t xml:space="preserve">Online-Bestellsystem orderio – Preise – </w:t>
      </w:r>
      <w:hyperlink w:history="1" r:id="rIdezdd-jj9nkfp347ppaye0">
        <w:r>
          <w:rPr>
            <w:rStyle w:val="Hyperlink"/>
          </w:rPr>
          <w:t xml:space="preserve">https://orderio.de/</w:t>
        </w:r>
      </w:hyperlink>
    </w:p>
    <w:p>
      <w:pPr>
        <w:pStyle w:val="ListParagraph"/>
        <w:numPr>
          <w:ilvl w:val="0"/>
          <w:numId w:val="2"/>
        </w:numPr>
        <w:spacing w:after="60"/>
      </w:pPr>
      <w:r>
        <w:t xml:space="preserve">Next.js App Development Cost in 2026 (WildnetEdge) – </w:t>
      </w:r>
      <w:hyperlink w:history="1" r:id="rIdhnlhk3pehsk2xp9ut9lzs">
        <w:r>
          <w:rPr>
            <w:rStyle w:val="Hyperlink"/>
          </w:rPr>
          <w:t xml:space="preserve">https://www.wildnetedge.com/blogs/next-js-app-development-cost</w:t>
        </w:r>
      </w:hyperlink>
    </w:p>
    <w:p>
      <w:pPr>
        <w:pStyle w:val="ListParagraph"/>
        <w:numPr>
          <w:ilvl w:val="0"/>
          <w:numId w:val="2"/>
        </w:numPr>
        <w:spacing w:after="60"/>
      </w:pPr>
      <w:r>
        <w:t xml:space="preserve">Lieferando Provision 2026 (Delovery) – </w:t>
      </w:r>
      <w:hyperlink w:history="1" r:id="rIdlwds7rm8j8b3t-cfdtd39">
        <w:r>
          <w:rPr>
            <w:rStyle w:val="Hyperlink"/>
          </w:rPr>
          <w:t xml:space="preserve">https://www.delovery.io/de/blog/lieferando-provision-was-restaurants-wirklich-zahlen</w:t>
        </w:r>
      </w:hyperlink>
    </w:p>
    <w:p>
      <w:pPr>
        <w:pStyle w:val="ListParagraph"/>
        <w:numPr>
          <w:ilvl w:val="0"/>
          <w:numId w:val="2"/>
        </w:numPr>
        <w:spacing w:after="60"/>
      </w:pPr>
      <w:r>
        <w:t xml:space="preserve">Lieferando Kosten Restaurant 2026 (Gastroinsider) – </w:t>
      </w:r>
      <w:hyperlink w:history="1" r:id="rIdzh8vrswyahkcpv4dqnffe">
        <w:r>
          <w:rPr>
            <w:rStyle w:val="Hyperlink"/>
          </w:rPr>
          <w:t xml:space="preserve">https://gastroinsider.de/blog/lieferando-kosten-restaurant</w:t>
        </w:r>
      </w:hyperlink>
    </w:p>
    <w:p>
      <w:pPr>
        <w:pStyle w:val="ListParagraph"/>
        <w:numPr>
          <w:ilvl w:val="0"/>
          <w:numId w:val="2"/>
        </w:numPr>
        <w:spacing w:after="60"/>
      </w:pPr>
      <w:r>
        <w:t xml:space="preserve">orderbird PRO – Preise – </w:t>
      </w:r>
      <w:hyperlink w:history="1" r:id="rIdqykmrpnxnn7mttae8ppz5">
        <w:r>
          <w:rPr>
            <w:rStyle w:val="Hyperlink"/>
          </w:rPr>
          <w:t xml:space="preserve">https://www.orderbird.com/en/pricing</w:t>
        </w:r>
      </w:hyperlink>
    </w:p>
    <w:p>
      <w:pPr>
        <w:pStyle w:val="ListParagraph"/>
        <w:numPr>
          <w:ilvl w:val="0"/>
          <w:numId w:val="2"/>
        </w:numPr>
        <w:spacing w:after="60"/>
      </w:pPr>
      <w:r>
        <w:t xml:space="preserve">Gastronovi – Preisübersicht – </w:t>
      </w:r>
      <w:hyperlink w:history="1" r:id="rIdpoteizy38gja9hlh9zrcl">
        <w:r>
          <w:rPr>
            <w:rStyle w:val="Hyperlink"/>
          </w:rPr>
          <w:t xml:space="preserve">https://www.gastronovi.com/en/prices/price-overview/</w:t>
        </w:r>
      </w:hyperlink>
    </w:p>
    <w:p>
      <w:pPr>
        <w:pStyle w:val="ListParagraph"/>
        <w:numPr>
          <w:ilvl w:val="0"/>
          <w:numId w:val="2"/>
        </w:numPr>
        <w:spacing w:after="60"/>
      </w:pPr>
      <w:r>
        <w:t xml:space="preserve">Eigene Loyalty-App oder Kundenbindungsplattform? (mobile-pocket.com) – </w:t>
      </w:r>
      <w:hyperlink w:history="1" r:id="rId2n5lifrfoyvzf2ozjm72h">
        <w:r>
          <w:rPr>
            <w:rStyle w:val="Hyperlink"/>
          </w:rPr>
          <w:t xml:space="preserve">https://www.mobile-pocket.com/blog/digitales-kundenbindungsprogramm-eigene-loyalty-app-oder-kundenbindungsplattform/</w:t>
        </w:r>
      </w:hyperlink>
    </w:p>
    <w:p>
      <w:pPr>
        <w:pStyle w:val="ListParagraph"/>
        <w:numPr>
          <w:ilvl w:val="0"/>
          <w:numId w:val="2"/>
        </w:numPr>
        <w:spacing w:after="60"/>
      </w:pPr>
      <w:r>
        <w:t xml:space="preserve">AEO and GEO Pricing Guide 2026 (The Digital Elevator) – </w:t>
      </w:r>
      <w:hyperlink w:history="1" r:id="rIdky6atx3ntamubpapmhxsy">
        <w:r>
          <w:rPr>
            <w:rStyle w:val="Hyperlink"/>
          </w:rPr>
          <w:t xml:space="preserve">https://thedigitalelevator.com/blog/aeo-and-geo-pricing-guide/</w:t>
        </w:r>
      </w:hyperlink>
    </w:p>
    <w:p>
      <w:pPr>
        <w:pStyle w:val="ListParagraph"/>
        <w:numPr>
          <w:ilvl w:val="0"/>
          <w:numId w:val="2"/>
        </w:numPr>
        <w:spacing w:after="60"/>
      </w:pPr>
      <w:r>
        <w:t xml:space="preserve">Generative Engine Optimization Pricing (RevvGrowth) – </w:t>
      </w:r>
      <w:hyperlink w:history="1" r:id="rIdbprprot6jzbq2aup0yxla">
        <w:r>
          <w:rPr>
            <w:rStyle w:val="Hyperlink"/>
          </w:rPr>
          <w:t xml:space="preserve">https://www.revvgrowth.com/geo/geo-agency-pricing</w:t>
        </w:r>
      </w:hyperlink>
    </w:p>
    <w:p>
      <w:pPr>
        <w:pStyle w:val="ListParagraph"/>
        <w:numPr>
          <w:ilvl w:val="0"/>
          <w:numId w:val="2"/>
        </w:numPr>
        <w:spacing w:after="60"/>
      </w:pPr>
      <w:r>
        <w:t xml:space="preserve">Commission-Free Online Ordering System (Deonde) – </w:t>
      </w:r>
      <w:hyperlink w:history="1" r:id="rIdkvtse33olpt-g3yjeaf8n">
        <w:r>
          <w:rPr>
            <w:rStyle w:val="Hyperlink"/>
          </w:rPr>
          <w:t xml:space="preserve">https://deonde.co/online-ordering-system-for-restaurants.shtml</w:t>
        </w:r>
      </w:hyperlink>
    </w:p>
    <w:p>
      <w:pPr>
        <w:pStyle w:val="ListParagraph"/>
        <w:numPr>
          <w:ilvl w:val="0"/>
          <w:numId w:val="2"/>
        </w:numPr>
        <w:spacing w:after="60"/>
      </w:pPr>
      <w:r>
        <w:t xml:space="preserve">Unternehmensbewertung – IHK München – </w:t>
      </w:r>
      <w:hyperlink w:history="1" r:id="rIdr93ksqed34ebmdpeddi3r">
        <w:r>
          <w:rPr>
            <w:rStyle w:val="Hyperlink"/>
          </w:rPr>
          <w:t xml:space="preserve">https://www.ihk-muenchen.de/de/Service/unternehmensuebergabe-nachfolge/Unternehmensbewertung/</w:t>
        </w:r>
      </w:hyperlink>
    </w:p>
    <w:p>
      <w:pPr>
        <w:pStyle w:val="ListParagraph"/>
        <w:numPr>
          <w:ilvl w:val="0"/>
          <w:numId w:val="2"/>
        </w:numPr>
        <w:spacing w:after="60"/>
      </w:pPr>
      <w:r>
        <w:t xml:space="preserve">Gastronomiebewertung – Multiplikatoren (durch-starter.eu) – </w:t>
      </w:r>
      <w:hyperlink w:history="1" r:id="rId0faipql-qalb6jam0opdj">
        <w:r>
          <w:rPr>
            <w:rStyle w:val="Hyperlink"/>
          </w:rPr>
          <w:t xml:space="preserve">https://durch-starter.eu/gastronomiebewertung/</w:t>
        </w:r>
      </w:hyperlink>
    </w:p>
    <w:p>
      <w:pPr>
        <w:pStyle w:val="ListParagraph"/>
        <w:numPr>
          <w:ilvl w:val="0"/>
          <w:numId w:val="2"/>
        </w:numPr>
        <w:spacing w:after="60"/>
      </w:pPr>
      <w:r>
        <w:t xml:space="preserve">Aktuelle KMU-Multiples (nimbo.net) – </w:t>
      </w:r>
      <w:hyperlink w:history="1" r:id="rIdqfdufwjm8ceddjyduqwxw">
        <w:r>
          <w:rPr>
            <w:rStyle w:val="Hyperlink"/>
          </w:rPr>
          <w:t xml:space="preserve">https://www.nimbo.net/multiples</w:t>
        </w:r>
      </w:hyperlink>
    </w:p>
    <w:p>
      <w:pPr>
        <w:pStyle w:val="ListParagraph"/>
        <w:numPr>
          <w:ilvl w:val="0"/>
          <w:numId w:val="2"/>
        </w:numPr>
        <w:spacing w:after="60"/>
      </w:pPr>
      <w:r>
        <w:t xml:space="preserve">Agentic Commerce: The 2026 Guide (Paz.ai) – </w:t>
      </w:r>
      <w:hyperlink w:history="1" r:id="rId19tlvlvwpzhx3dwmxbcde">
        <w:r>
          <w:rPr>
            <w:rStyle w:val="Hyperlink"/>
          </w:rPr>
          <w:t xml:space="preserve">https://www.paz.ai/agentic-commerce</w:t>
        </w:r>
      </w:hyperlink>
    </w:p>
    <w:p>
      <w:pPr>
        <w:pStyle w:val="ListParagraph"/>
        <w:numPr>
          <w:ilvl w:val="0"/>
          <w:numId w:val="2"/>
        </w:numPr>
        <w:spacing w:after="60"/>
      </w:pPr>
      <w:r>
        <w:t xml:space="preserve">The agentic commerce opportunity (McKinsey) – </w:t>
      </w:r>
      <w:hyperlink w:history="1" r:id="rIdk8lfb1gl2easfvbcvyvol">
        <w:r>
          <w:rPr>
            <w:rStyle w:val="Hyperlink"/>
          </w:rPr>
          <w:t xml:space="preserve">https://www.mckinsey.com/capabilities/quantumblack/our-insights/the-agentic-commerce-opportunity-how-ai-agents-are-ushering-in-a-new-era-for-consumers-and-merchants</w:t>
        </w:r>
      </w:hyperlink>
    </w:p>
    <w:p>
      <w:pPr>
        <w:pStyle w:val="ListParagraph"/>
        <w:numPr>
          <w:ilvl w:val="0"/>
          <w:numId w:val="2"/>
        </w:numPr>
        <w:spacing w:after="60"/>
      </w:pPr>
      <w:r>
        <w:t xml:space="preserve">Playwright-Testautomatisierung: Kosten &amp; Praxis (Qytera) – </w:t>
      </w:r>
      <w:hyperlink w:history="1" r:id="rIdkx_7tmfvvgbjavfjwz2j_">
        <w:r>
          <w:rPr>
            <w:rStyle w:val="Hyperlink"/>
          </w:rPr>
          <w:t xml:space="preserve">https://www.qytera.de/blog/playwright-testautomatisierung-tool-e2e</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8F82"/>
        <w:sz w:val="16"/>
        <w:szCs w:val="16"/>
      </w:rPr>
      <w:t xml:space="preserve">Seite </w:t>
    </w:r>
    <w:r>
      <w:rPr>
        <w:color w:val="9B8F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B8F82"/>
        <w:sz w:val="16"/>
        <w:szCs w:val="16"/>
      </w:rPr>
      <w:t xml:space="preserve">hey-fede.de – Markt- &amp; Qualitätsanalyse</w:t>
    </w:r>
    <w:r>
      <w:rPr>
        <w:color w:val="9B8F82"/>
        <w:sz w:val="16"/>
        <w:szCs w:val="16"/>
      </w:rPr>
      <w:t xml:space="preserve">	Juli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1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624C" w:sz="6" w:space="4"/>
      </w:pBdr>
      <w:spacing w:after="200" w:before="380"/>
      <w:outlineLvl w:val="0"/>
    </w:pPr>
    <w:rPr>
      <w:rFonts w:ascii="Arial" w:cs="Arial" w:eastAsia="Arial" w:hAnsi="Arial"/>
      <w:b/>
      <w:bCs/>
      <w:color w:val="CC624C"/>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3A2E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uhynhcok7ufpnrqjodqs" Type="http://schemas.openxmlformats.org/officeDocument/2006/relationships/hyperlink" Target="https://saschafix.de/wissen/blog-articles/restaurant-website-erstellen-lassen/" TargetMode="External"/><Relationship Id="rIdhqw9dp-gg2ah8v56phibu" Type="http://schemas.openxmlformats.org/officeDocument/2006/relationships/hyperlink" Target="https://fs-webentwicklung.de/blogs/was-kostet-eine-restaurant-website/" TargetMode="External"/><Relationship Id="rIdezdd-jj9nkfp347ppaye0" Type="http://schemas.openxmlformats.org/officeDocument/2006/relationships/hyperlink" Target="https://orderio.de/" TargetMode="External"/><Relationship Id="rIdhnlhk3pehsk2xp9ut9lzs" Type="http://schemas.openxmlformats.org/officeDocument/2006/relationships/hyperlink" Target="https://www.wildnetedge.com/blogs/next-js-app-development-cost" TargetMode="External"/><Relationship Id="rIdlwds7rm8j8b3t-cfdtd39" Type="http://schemas.openxmlformats.org/officeDocument/2006/relationships/hyperlink" Target="https://www.delovery.io/de/blog/lieferando-provision-was-restaurants-wirklich-zahlen" TargetMode="External"/><Relationship Id="rIdzh8vrswyahkcpv4dqnffe" Type="http://schemas.openxmlformats.org/officeDocument/2006/relationships/hyperlink" Target="https://gastroinsider.de/blog/lieferando-kosten-restaurant" TargetMode="External"/><Relationship Id="rIdqykmrpnxnn7mttae8ppz5" Type="http://schemas.openxmlformats.org/officeDocument/2006/relationships/hyperlink" Target="https://www.orderbird.com/en/pricing" TargetMode="External"/><Relationship Id="rIdpoteizy38gja9hlh9zrcl" Type="http://schemas.openxmlformats.org/officeDocument/2006/relationships/hyperlink" Target="https://www.gastronovi.com/en/prices/price-overview/" TargetMode="External"/><Relationship Id="rId2n5lifrfoyvzf2ozjm72h" Type="http://schemas.openxmlformats.org/officeDocument/2006/relationships/hyperlink" Target="https://www.mobile-pocket.com/blog/digitales-kundenbindungsprogramm-eigene-loyalty-app-oder-kundenbindungsplattform/" TargetMode="External"/><Relationship Id="rIdky6atx3ntamubpapmhxsy" Type="http://schemas.openxmlformats.org/officeDocument/2006/relationships/hyperlink" Target="https://thedigitalelevator.com/blog/aeo-and-geo-pricing-guide/" TargetMode="External"/><Relationship Id="rIdbprprot6jzbq2aup0yxla" Type="http://schemas.openxmlformats.org/officeDocument/2006/relationships/hyperlink" Target="https://www.revvgrowth.com/geo/geo-agency-pricing" TargetMode="External"/><Relationship Id="rIdkvtse33olpt-g3yjeaf8n" Type="http://schemas.openxmlformats.org/officeDocument/2006/relationships/hyperlink" Target="https://deonde.co/online-ordering-system-for-restaurants.shtml" TargetMode="External"/><Relationship Id="rIdr93ksqed34ebmdpeddi3r" Type="http://schemas.openxmlformats.org/officeDocument/2006/relationships/hyperlink" Target="https://www.ihk-muenchen.de/de/Service/unternehmensuebergabe-nachfolge/Unternehmensbewertung/" TargetMode="External"/><Relationship Id="rId0faipql-qalb6jam0opdj" Type="http://schemas.openxmlformats.org/officeDocument/2006/relationships/hyperlink" Target="https://durch-starter.eu/gastronomiebewertung/" TargetMode="External"/><Relationship Id="rIdqfdufwjm8ceddjyduqwxw" Type="http://schemas.openxmlformats.org/officeDocument/2006/relationships/hyperlink" Target="https://www.nimbo.net/multiples" TargetMode="External"/><Relationship Id="rId19tlvlvwpzhx3dwmxbcde" Type="http://schemas.openxmlformats.org/officeDocument/2006/relationships/hyperlink" Target="https://www.paz.ai/agentic-commerce" TargetMode="External"/><Relationship Id="rIdk8lfb1gl2easfvbcvyvol" Type="http://schemas.openxmlformats.org/officeDocument/2006/relationships/hyperlink" Target="https://www.mckinsey.com/capabilities/quantumblack/our-insights/the-agentic-commerce-opportunity-how-ai-agents-are-ushering-in-a-new-era-for-consumers-and-merchants" TargetMode="External"/><Relationship Id="rIdkx_7tmfvvgbjavfjwz2j_" Type="http://schemas.openxmlformats.org/officeDocument/2006/relationships/hyperlink" Target="https://www.qytera.de/blog/playwright-testautomatisierung-tool-e2e"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2026-07-04T23:59:07.790Z</dcterms:created>
  <dcterms:modified xsi:type="dcterms:W3CDTF">2026-07-04T23:59:07.790Z</dcterms:modified>
</cp:coreProperties>
</file>

<file path=docProps/custom.xml><?xml version="1.0" encoding="utf-8"?>
<Properties xmlns="http://schemas.openxmlformats.org/officeDocument/2006/custom-properties" xmlns:vt="http://schemas.openxmlformats.org/officeDocument/2006/docPropsVTypes"/>
</file>