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eastAsia="Aptos"/>
          <w:b/>
          <w:color w:val="173A5E"/>
          <w:sz w:val="56"/>
        </w:rPr>
        <w:t>DUCKWORKS</w:t>
      </w:r>
    </w:p>
    <w:p>
      <w:pPr>
        <w:spacing w:after="120"/>
        <w:jc w:val="center"/>
      </w:pPr>
      <w:r>
        <w:rPr>
          <w:rFonts w:ascii="Aptos" w:hAnsi="Aptos" w:eastAsia="Aptos"/>
          <w:b/>
          <w:color w:val="3C817A"/>
          <w:sz w:val="46"/>
        </w:rPr>
        <w:t>AI Governance Business Case</w:t>
      </w:r>
    </w:p>
    <w:p>
      <w:pPr>
        <w:spacing w:after="440"/>
        <w:jc w:val="center"/>
      </w:pPr>
      <w:r>
        <w:rPr>
          <w:rFonts w:ascii="Aptos" w:hAnsi="Aptos" w:eastAsia="Aptos"/>
          <w:b w:val="0"/>
          <w:color w:val="1F2933"/>
          <w:sz w:val="25"/>
        </w:rPr>
        <w:t>Project W.I.N.G. — Workflows, Intelligence, Next-Generation Governance</w:t>
      </w:r>
    </w:p>
    <w:p>
      <w:pPr>
        <w:spacing w:after="20" w:before="0" w:line="120" w:lineRule="auto"/>
      </w:pPr>
    </w:p>
    <w:tbl>
      <w:tblPr>
        <w:tblW w:type="auto" w:w="0"/>
        <w:jc w:val="center"/>
        <w:tblLook w:firstColumn="1" w:firstRow="1" w:lastColumn="0" w:lastRow="0" w:noHBand="0" w:noVBand="1" w:val="04A0"/>
        <w:tblBorders>
          <w:top w:val="single" w:sz="8" w:space="0" w:color="173A5E"/>
          <w:left w:val="single" w:sz="8" w:space="0" w:color="173A5E"/>
          <w:bottom w:val="single" w:sz="8" w:space="0" w:color="173A5E"/>
          <w:right w:val="single" w:sz="8" w:space="0" w:color="173A5E"/>
          <w:insideH w:val="single" w:sz="8" w:space="0" w:color="173A5E"/>
          <w:insideV w:val="single" w:sz="8" w:space="0" w:color="173A5E"/>
        </w:tblBorders>
      </w:tblPr>
      <w:tblGrid>
        <w:gridCol w:w="10454"/>
      </w:tblGrid>
      <w:tr>
        <w:trPr>
          <w:cantSplit/>
        </w:trPr>
        <w:tc>
          <w:tcPr>
            <w:tcW w:type="dxa" w:w="10454"/>
            <w:shd w:fill="EAF0F6"/>
            <w:tcMar>
              <w:top w:w="100" w:type="dxa"/>
              <w:start w:w="120" w:type="dxa"/>
              <w:bottom w:w="100" w:type="dxa"/>
              <w:end w:w="120" w:type="dxa"/>
            </w:tcMar>
          </w:tcPr>
          <w:p>
            <w:pPr>
              <w:spacing w:after="60"/>
            </w:pPr>
            <w:r>
              <w:rPr>
                <w:rFonts w:ascii="Aptos" w:hAnsi="Aptos" w:eastAsia="Aptos"/>
                <w:b/>
                <w:color w:val="173A5E"/>
                <w:sz w:val="21"/>
              </w:rPr>
              <w:t>Business Case Position</w:t>
            </w:r>
          </w:p>
          <w:p>
            <w:pPr>
              <w:spacing w:after="0" w:line="252" w:lineRule="auto"/>
            </w:pPr>
            <w:r>
              <w:rPr>
                <w:rFonts w:ascii="Aptos" w:hAnsi="Aptos" w:eastAsia="Aptos"/>
                <w:b w:val="0"/>
                <w:color w:val="1F2933"/>
                <w:sz w:val="20"/>
              </w:rPr>
              <w:t>Duckworks should proceed with a proportionate, enterprise-wide AI governance capability that enables controlled innovation. The case is driven by a combination of business value opportunity and material governance exposure. Quantified ROI is intentionally not claimed because the current project evidence does not provide reliable cost, productivity, incident-loss, or benefit baselines.</w:t>
            </w:r>
          </w:p>
        </w:tc>
      </w:tr>
    </w:tbl>
    <w:p>
      <w:pPr>
        <w:spacing w:after="200"/>
      </w:pPr>
    </w:p>
    <w:tbl>
      <w:tblPr>
        <w:tblW w:type="auto" w:w="0"/>
        <w:jc w:val="center"/>
        <w:tblLayout w:type="fixed"/>
        <w:tblLook w:firstColumn="1" w:firstRow="1" w:lastColumn="0" w:lastRow="0" w:noHBand="0" w:noVBand="1" w:val="04A0"/>
        <w:tblBorders>
          <w:top w:val="single" w:sz="4" w:space="0" w:color="CCD4DC"/>
          <w:left w:val="single" w:sz="4" w:space="0" w:color="CCD4DC"/>
          <w:bottom w:val="single" w:sz="4" w:space="0" w:color="CCD4DC"/>
          <w:right w:val="single" w:sz="4" w:space="0" w:color="CCD4DC"/>
          <w:insideH w:val="single" w:sz="4" w:space="0" w:color="CCD4DC"/>
          <w:insideV w:val="single" w:sz="4" w:space="0" w:color="CCD4DC"/>
        </w:tblBorders>
      </w:tblPr>
      <w:tblGrid>
        <w:gridCol w:w="5227"/>
        <w:gridCol w:w="5227"/>
      </w:tblGrid>
      <w:tr>
        <w:trPr>
          <w:cantSplit/>
        </w:trPr>
        <w:tc>
          <w:tcPr>
            <w:tcW w:type="dxa" w:w="2592"/>
            <w:shd w:fill="EAF0F6"/>
            <w:tcMar>
              <w:top w:w="70" w:type="dxa"/>
              <w:start w:w="90" w:type="dxa"/>
              <w:bottom w:w="70" w:type="dxa"/>
              <w:end w:w="90" w:type="dxa"/>
            </w:tcMar>
            <w:vAlign w:val="center"/>
          </w:tcPr>
          <w:p>
            <w:pPr>
              <w:spacing w:after="0"/>
            </w:pPr>
            <w:r>
              <w:rPr>
                <w:rFonts w:ascii="Aptos" w:hAnsi="Aptos" w:eastAsia="Aptos"/>
                <w:b/>
                <w:color w:val="173A5E"/>
                <w:sz w:val="18"/>
              </w:rPr>
              <w:t>Document ID</w:t>
            </w:r>
          </w:p>
        </w:tc>
        <w:tc>
          <w:tcPr>
            <w:tcW w:type="dxa" w:w="7920"/>
            <w:tcMar>
              <w:top w:w="70" w:type="dxa"/>
              <w:start w:w="90" w:type="dxa"/>
              <w:bottom w:w="70" w:type="dxa"/>
              <w:end w:w="90" w:type="dxa"/>
            </w:tcMar>
            <w:vAlign w:val="center"/>
          </w:tcPr>
          <w:p>
            <w:pPr>
              <w:spacing w:after="0"/>
            </w:pPr>
            <w:r>
              <w:rPr>
                <w:rFonts w:ascii="Aptos" w:hAnsi="Aptos" w:eastAsia="Aptos"/>
                <w:b w:val="0"/>
                <w:color w:val="1F2933"/>
                <w:sz w:val="18"/>
              </w:rPr>
              <w:t>DW-WING-BCASE-01</w:t>
            </w:r>
          </w:p>
        </w:tc>
      </w:tr>
      <w:tr>
        <w:trPr>
          <w:cantSplit/>
        </w:trPr>
        <w:tc>
          <w:tcPr>
            <w:tcW w:type="dxa" w:w="2592"/>
            <w:shd w:fill="EAF0F6"/>
            <w:tcMar>
              <w:top w:w="70" w:type="dxa"/>
              <w:start w:w="90" w:type="dxa"/>
              <w:bottom w:w="70" w:type="dxa"/>
              <w:end w:w="90" w:type="dxa"/>
            </w:tcMar>
            <w:vAlign w:val="center"/>
          </w:tcPr>
          <w:p>
            <w:pPr>
              <w:spacing w:after="0"/>
            </w:pPr>
            <w:r>
              <w:rPr>
                <w:rFonts w:ascii="Aptos" w:hAnsi="Aptos" w:eastAsia="Aptos"/>
                <w:b/>
                <w:color w:val="173A5E"/>
                <w:sz w:val="18"/>
              </w:rPr>
              <w:t>Version</w:t>
            </w:r>
          </w:p>
        </w:tc>
        <w:tc>
          <w:tcPr>
            <w:tcW w:type="dxa" w:w="7920"/>
            <w:tcMar>
              <w:top w:w="70" w:type="dxa"/>
              <w:start w:w="90" w:type="dxa"/>
              <w:bottom w:w="70" w:type="dxa"/>
              <w:end w:w="90" w:type="dxa"/>
            </w:tcMar>
            <w:vAlign w:val="center"/>
          </w:tcPr>
          <w:p>
            <w:pPr>
              <w:spacing w:after="0"/>
            </w:pPr>
            <w:r>
              <w:rPr>
                <w:rFonts w:ascii="Aptos" w:hAnsi="Aptos" w:eastAsia="Aptos"/>
                <w:b w:val="0"/>
                <w:color w:val="1F2933"/>
                <w:sz w:val="18"/>
              </w:rPr>
              <w:t>1.0</w:t>
            </w:r>
          </w:p>
        </w:tc>
      </w:tr>
      <w:tr>
        <w:trPr>
          <w:cantSplit/>
        </w:trPr>
        <w:tc>
          <w:tcPr>
            <w:tcW w:type="dxa" w:w="2592"/>
            <w:shd w:fill="EAF0F6"/>
            <w:tcMar>
              <w:top w:w="70" w:type="dxa"/>
              <w:start w:w="90" w:type="dxa"/>
              <w:bottom w:w="70" w:type="dxa"/>
              <w:end w:w="90" w:type="dxa"/>
            </w:tcMar>
            <w:vAlign w:val="center"/>
          </w:tcPr>
          <w:p>
            <w:pPr>
              <w:spacing w:after="0"/>
            </w:pPr>
            <w:r>
              <w:rPr>
                <w:rFonts w:ascii="Aptos" w:hAnsi="Aptos" w:eastAsia="Aptos"/>
                <w:b/>
                <w:color w:val="173A5E"/>
                <w:sz w:val="18"/>
              </w:rPr>
              <w:t>Status</w:t>
            </w:r>
          </w:p>
        </w:tc>
        <w:tc>
          <w:tcPr>
            <w:tcW w:type="dxa" w:w="7920"/>
            <w:tcMar>
              <w:top w:w="70" w:type="dxa"/>
              <w:start w:w="90" w:type="dxa"/>
              <w:bottom w:w="70" w:type="dxa"/>
              <w:end w:w="90" w:type="dxa"/>
            </w:tcMar>
            <w:vAlign w:val="center"/>
          </w:tcPr>
          <w:p>
            <w:pPr>
              <w:spacing w:after="0"/>
            </w:pPr>
            <w:r>
              <w:rPr>
                <w:rFonts w:ascii="Aptos" w:hAnsi="Aptos" w:eastAsia="Aptos"/>
                <w:b w:val="0"/>
                <w:color w:val="1F2933"/>
                <w:sz w:val="18"/>
              </w:rPr>
              <w:t>Portfolio Baseline</w:t>
            </w:r>
          </w:p>
        </w:tc>
      </w:tr>
      <w:tr>
        <w:trPr>
          <w:cantSplit/>
        </w:trPr>
        <w:tc>
          <w:tcPr>
            <w:tcW w:type="dxa" w:w="2592"/>
            <w:shd w:fill="EAF0F6"/>
            <w:tcMar>
              <w:top w:w="70" w:type="dxa"/>
              <w:start w:w="90" w:type="dxa"/>
              <w:bottom w:w="70" w:type="dxa"/>
              <w:end w:w="90" w:type="dxa"/>
            </w:tcMar>
            <w:vAlign w:val="center"/>
          </w:tcPr>
          <w:p>
            <w:pPr>
              <w:spacing w:after="0"/>
            </w:pPr>
            <w:r>
              <w:rPr>
                <w:rFonts w:ascii="Aptos" w:hAnsi="Aptos" w:eastAsia="Aptos"/>
                <w:b/>
                <w:color w:val="173A5E"/>
                <w:sz w:val="18"/>
              </w:rPr>
              <w:t>Organization</w:t>
            </w:r>
          </w:p>
        </w:tc>
        <w:tc>
          <w:tcPr>
            <w:tcW w:type="dxa" w:w="7920"/>
            <w:tcMar>
              <w:top w:w="70" w:type="dxa"/>
              <w:start w:w="90" w:type="dxa"/>
              <w:bottom w:w="70" w:type="dxa"/>
              <w:end w:w="90" w:type="dxa"/>
            </w:tcMar>
            <w:vAlign w:val="center"/>
          </w:tcPr>
          <w:p>
            <w:pPr>
              <w:spacing w:after="0"/>
            </w:pPr>
            <w:r>
              <w:rPr>
                <w:rFonts w:ascii="Aptos" w:hAnsi="Aptos" w:eastAsia="Aptos"/>
                <w:b w:val="0"/>
                <w:color w:val="1F2933"/>
                <w:sz w:val="18"/>
              </w:rPr>
              <w:t>Duckworks (fictional)</w:t>
            </w:r>
          </w:p>
        </w:tc>
      </w:tr>
      <w:tr>
        <w:trPr>
          <w:cantSplit/>
        </w:trPr>
        <w:tc>
          <w:tcPr>
            <w:tcW w:type="dxa" w:w="2592"/>
            <w:shd w:fill="EAF0F6"/>
            <w:tcMar>
              <w:top w:w="70" w:type="dxa"/>
              <w:start w:w="90" w:type="dxa"/>
              <w:bottom w:w="70" w:type="dxa"/>
              <w:end w:w="90" w:type="dxa"/>
            </w:tcMar>
            <w:vAlign w:val="center"/>
          </w:tcPr>
          <w:p>
            <w:pPr>
              <w:spacing w:after="0"/>
            </w:pPr>
            <w:r>
              <w:rPr>
                <w:rFonts w:ascii="Aptos" w:hAnsi="Aptos" w:eastAsia="Aptos"/>
                <w:b/>
                <w:color w:val="173A5E"/>
                <w:sz w:val="18"/>
              </w:rPr>
              <w:t>Business Sponsor</w:t>
            </w:r>
          </w:p>
        </w:tc>
        <w:tc>
          <w:tcPr>
            <w:tcW w:type="dxa" w:w="7920"/>
            <w:tcMar>
              <w:top w:w="70" w:type="dxa"/>
              <w:start w:w="90" w:type="dxa"/>
              <w:bottom w:w="70" w:type="dxa"/>
              <w:end w:w="90" w:type="dxa"/>
            </w:tcMar>
            <w:vAlign w:val="center"/>
          </w:tcPr>
          <w:p>
            <w:pPr>
              <w:spacing w:after="0"/>
            </w:pPr>
            <w:r>
              <w:rPr>
                <w:rFonts w:ascii="Aptos" w:hAnsi="Aptos" w:eastAsia="Aptos"/>
                <w:b w:val="0"/>
                <w:color w:val="1F2933"/>
                <w:sz w:val="18"/>
              </w:rPr>
              <w:t>Dr. Mallory Duckworth, Chief Executive Officer</w:t>
            </w:r>
          </w:p>
        </w:tc>
      </w:tr>
      <w:tr>
        <w:trPr>
          <w:cantSplit/>
        </w:trPr>
        <w:tc>
          <w:tcPr>
            <w:tcW w:type="dxa" w:w="2592"/>
            <w:shd w:fill="EAF0F6"/>
            <w:tcMar>
              <w:top w:w="70" w:type="dxa"/>
              <w:start w:w="90" w:type="dxa"/>
              <w:bottom w:w="70" w:type="dxa"/>
              <w:end w:w="90" w:type="dxa"/>
            </w:tcMar>
            <w:vAlign w:val="center"/>
          </w:tcPr>
          <w:p>
            <w:pPr>
              <w:spacing w:after="0"/>
            </w:pPr>
            <w:r>
              <w:rPr>
                <w:rFonts w:ascii="Aptos" w:hAnsi="Aptos" w:eastAsia="Aptos"/>
                <w:b/>
                <w:color w:val="173A5E"/>
                <w:sz w:val="18"/>
              </w:rPr>
              <w:t>Governance Sponsor</w:t>
            </w:r>
          </w:p>
        </w:tc>
        <w:tc>
          <w:tcPr>
            <w:tcW w:type="dxa" w:w="7920"/>
            <w:tcMar>
              <w:top w:w="70" w:type="dxa"/>
              <w:start w:w="90" w:type="dxa"/>
              <w:bottom w:w="70" w:type="dxa"/>
              <w:end w:w="90" w:type="dxa"/>
            </w:tcMar>
            <w:vAlign w:val="center"/>
          </w:tcPr>
          <w:p>
            <w:pPr>
              <w:spacing w:after="0"/>
            </w:pPr>
            <w:r>
              <w:rPr>
                <w:rFonts w:ascii="Aptos" w:hAnsi="Aptos" w:eastAsia="Aptos"/>
                <w:b w:val="0"/>
                <w:color w:val="1F2933"/>
                <w:sz w:val="18"/>
              </w:rPr>
              <w:t>Reginald Duckman, Chief Risk &amp; Compliance Officer</w:t>
            </w:r>
          </w:p>
        </w:tc>
      </w:tr>
      <w:tr>
        <w:trPr>
          <w:cantSplit/>
        </w:trPr>
        <w:tc>
          <w:tcPr>
            <w:tcW w:type="dxa" w:w="2592"/>
            <w:shd w:fill="EAF0F6"/>
            <w:tcMar>
              <w:top w:w="70" w:type="dxa"/>
              <w:start w:w="90" w:type="dxa"/>
              <w:bottom w:w="70" w:type="dxa"/>
              <w:end w:w="90" w:type="dxa"/>
            </w:tcMar>
            <w:vAlign w:val="center"/>
          </w:tcPr>
          <w:p>
            <w:pPr>
              <w:spacing w:after="0"/>
            </w:pPr>
            <w:r>
              <w:rPr>
                <w:rFonts w:ascii="Aptos" w:hAnsi="Aptos" w:eastAsia="Aptos"/>
                <w:b/>
                <w:color w:val="173A5E"/>
                <w:sz w:val="18"/>
              </w:rPr>
              <w:t>Program Owner</w:t>
            </w:r>
          </w:p>
        </w:tc>
        <w:tc>
          <w:tcPr>
            <w:tcW w:type="dxa" w:w="7920"/>
            <w:tcMar>
              <w:top w:w="70" w:type="dxa"/>
              <w:start w:w="90" w:type="dxa"/>
              <w:bottom w:w="70" w:type="dxa"/>
              <w:end w:w="90" w:type="dxa"/>
            </w:tcMar>
            <w:vAlign w:val="center"/>
          </w:tcPr>
          <w:p>
            <w:pPr>
              <w:spacing w:after="0"/>
            </w:pPr>
            <w:r>
              <w:rPr>
                <w:rFonts w:ascii="Aptos" w:hAnsi="Aptos" w:eastAsia="Aptos"/>
                <w:b w:val="0"/>
                <w:color w:val="1F2933"/>
                <w:sz w:val="18"/>
              </w:rPr>
              <w:t>Eleanor Duckford, AI Governance Lead</w:t>
            </w:r>
          </w:p>
        </w:tc>
      </w:tr>
      <w:tr>
        <w:trPr>
          <w:cantSplit/>
        </w:trPr>
        <w:tc>
          <w:tcPr>
            <w:tcW w:type="dxa" w:w="2592"/>
            <w:shd w:fill="EAF0F6"/>
            <w:tcMar>
              <w:top w:w="70" w:type="dxa"/>
              <w:start w:w="90" w:type="dxa"/>
              <w:bottom w:w="70" w:type="dxa"/>
              <w:end w:w="90" w:type="dxa"/>
            </w:tcMar>
            <w:vAlign w:val="center"/>
          </w:tcPr>
          <w:p>
            <w:pPr>
              <w:spacing w:after="0"/>
            </w:pPr>
            <w:r>
              <w:rPr>
                <w:rFonts w:ascii="Aptos" w:hAnsi="Aptos" w:eastAsia="Aptos"/>
                <w:b/>
                <w:color w:val="173A5E"/>
                <w:sz w:val="18"/>
              </w:rPr>
              <w:t>Assessment Date</w:t>
            </w:r>
          </w:p>
        </w:tc>
        <w:tc>
          <w:tcPr>
            <w:tcW w:type="dxa" w:w="7920"/>
            <w:tcMar>
              <w:top w:w="70" w:type="dxa"/>
              <w:start w:w="90" w:type="dxa"/>
              <w:bottom w:w="70" w:type="dxa"/>
              <w:end w:w="90" w:type="dxa"/>
            </w:tcMar>
            <w:vAlign w:val="center"/>
          </w:tcPr>
          <w:p>
            <w:pPr>
              <w:spacing w:after="0"/>
            </w:pPr>
            <w:r>
              <w:rPr>
                <w:rFonts w:ascii="Aptos" w:hAnsi="Aptos" w:eastAsia="Aptos"/>
                <w:b w:val="0"/>
                <w:color w:val="1F2933"/>
                <w:sz w:val="18"/>
              </w:rPr>
              <w:t>9 August 2026</w:t>
            </w:r>
          </w:p>
        </w:tc>
      </w:tr>
      <w:tr>
        <w:trPr>
          <w:cantSplit/>
        </w:trPr>
        <w:tc>
          <w:tcPr>
            <w:tcW w:type="dxa" w:w="2592"/>
            <w:shd w:fill="EAF0F6"/>
            <w:tcMar>
              <w:top w:w="70" w:type="dxa"/>
              <w:start w:w="90" w:type="dxa"/>
              <w:bottom w:w="70" w:type="dxa"/>
              <w:end w:w="90" w:type="dxa"/>
            </w:tcMar>
            <w:vAlign w:val="center"/>
          </w:tcPr>
          <w:p>
            <w:pPr>
              <w:spacing w:after="0"/>
            </w:pPr>
            <w:r>
              <w:rPr>
                <w:rFonts w:ascii="Aptos" w:hAnsi="Aptos" w:eastAsia="Aptos"/>
                <w:b/>
                <w:color w:val="173A5E"/>
                <w:sz w:val="18"/>
              </w:rPr>
              <w:t>Classification</w:t>
            </w:r>
          </w:p>
        </w:tc>
        <w:tc>
          <w:tcPr>
            <w:tcW w:type="dxa" w:w="7920"/>
            <w:tcMar>
              <w:top w:w="70" w:type="dxa"/>
              <w:start w:w="90" w:type="dxa"/>
              <w:bottom w:w="70" w:type="dxa"/>
              <w:end w:w="90" w:type="dxa"/>
            </w:tcMar>
            <w:vAlign w:val="center"/>
          </w:tcPr>
          <w:p>
            <w:pPr>
              <w:spacing w:after="0"/>
            </w:pPr>
            <w:r>
              <w:rPr>
                <w:rFonts w:ascii="Aptos" w:hAnsi="Aptos" w:eastAsia="Aptos"/>
                <w:b w:val="0"/>
                <w:color w:val="1F2933"/>
                <w:sz w:val="18"/>
              </w:rPr>
              <w:t>Portfolio / Synthetic / Non-production</w:t>
            </w:r>
          </w:p>
        </w:tc>
      </w:tr>
    </w:tbl>
    <w:p>
      <w:pPr>
        <w:spacing w:before="320"/>
        <w:jc w:val="center"/>
      </w:pPr>
      <w:r>
        <w:rPr>
          <w:rFonts w:ascii="Aptos" w:hAnsi="Aptos" w:eastAsia="Aptos"/>
          <w:b w:val="0"/>
          <w:color w:val="65727E"/>
          <w:sz w:val="18"/>
        </w:rPr>
        <w:t>Prepared for professional portfolio demonstration using only fictional organization data and project source materials.</w:t>
      </w:r>
    </w:p>
    <w:p>
      <w:r>
        <w:br w:type="page"/>
      </w:r>
    </w:p>
    <w:p>
      <w:pPr>
        <w:keepNext/>
        <w:spacing w:before="200" w:after="100"/>
      </w:pPr>
      <w:r>
        <w:rPr>
          <w:rFonts w:ascii="Aptos" w:hAnsi="Aptos" w:eastAsia="Aptos"/>
          <w:b/>
          <w:color w:val="173A5E"/>
          <w:sz w:val="30"/>
        </w:rPr>
        <w:t>1. Executive Summary</w:t>
      </w:r>
    </w:p>
    <w:p>
      <w:pPr>
        <w:spacing w:after="100" w:line="259" w:lineRule="auto"/>
      </w:pPr>
      <w:r>
        <w:rPr>
          <w:rFonts w:ascii="Aptos" w:hAnsi="Aptos" w:eastAsia="Aptos"/>
          <w:b w:val="0"/>
          <w:color w:val="1F2933"/>
          <w:sz w:val="21"/>
        </w:rPr>
        <w:t>Duckworks is using and piloting AI across engineering, customer operations, supply-chain planning, manufacturing quality, recruitment, and employee productivity. The business opportunity is significant: the current use cases are intended to shorten design cycles, improve support availability, reduce excess inventory, strengthen quality inspection, reduce recruiter workload, and improve employee productivity. At the same time, AI adoption is already occurring faster than existing governance processes can accommodate, including unregistered employee use of public generative-AI services.</w:t>
      </w:r>
    </w:p>
    <w:p>
      <w:pPr>
        <w:spacing w:after="100" w:line="259" w:lineRule="auto"/>
      </w:pPr>
      <w:r>
        <w:rPr>
          <w:rFonts w:ascii="Aptos" w:hAnsi="Aptos" w:eastAsia="Aptos"/>
          <w:b w:val="0"/>
          <w:color w:val="1F2933"/>
          <w:sz w:val="21"/>
        </w:rPr>
        <w:t>The business case is therefore not for “AI compliance” as a standalone activity. It is for a scalable enterprise capability that lets Duckworks pursue AI value while controlling exposure to safety, security, privacy, fairness, operational, third-party, legal, and assurance risks. This is consistent with Duckworks’ stated desired future state of controlled innovation and risk-proportionate governance.</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5227"/>
        <w:gridCol w:w="5227"/>
      </w:tblGrid>
      <w:tr>
        <w:trPr>
          <w:tblHeader w:val="true"/>
          <w:cantSplit/>
        </w:trPr>
        <w:tc>
          <w:tcPr>
            <w:tcW w:type="dxa" w:w="2304"/>
            <w:shd w:fill="173A5E"/>
            <w:tcMar>
              <w:top w:w="70" w:type="dxa"/>
              <w:start w:w="70" w:type="dxa"/>
              <w:bottom w:w="70" w:type="dxa"/>
              <w:end w:w="70" w:type="dxa"/>
            </w:tcMar>
          </w:tcPr>
          <w:p>
            <w:pPr>
              <w:spacing w:after="0"/>
            </w:pPr>
            <w:r>
              <w:rPr>
                <w:rFonts w:ascii="Aptos" w:hAnsi="Aptos" w:eastAsia="Aptos"/>
                <w:b/>
                <w:color w:val="FFFFFF"/>
                <w:sz w:val="18"/>
              </w:rPr>
              <w:t>Decision Area</w:t>
            </w:r>
          </w:p>
        </w:tc>
        <w:tc>
          <w:tcPr>
            <w:tcW w:type="dxa" w:w="8136"/>
            <w:shd w:fill="173A5E"/>
            <w:tcMar>
              <w:top w:w="70" w:type="dxa"/>
              <w:start w:w="70" w:type="dxa"/>
              <w:bottom w:w="70" w:type="dxa"/>
              <w:end w:w="70" w:type="dxa"/>
            </w:tcMar>
          </w:tcPr>
          <w:p>
            <w:pPr>
              <w:spacing w:after="0"/>
            </w:pPr>
            <w:r>
              <w:rPr>
                <w:rFonts w:ascii="Aptos" w:hAnsi="Aptos" w:eastAsia="Aptos"/>
                <w:b/>
                <w:color w:val="FFFFFF"/>
                <w:sz w:val="18"/>
              </w:rPr>
              <w:t>Business Case Conclusion</w:t>
            </w:r>
          </w:p>
        </w:tc>
      </w:tr>
      <w:tr>
        <w:trPr>
          <w:cantSplit/>
        </w:trPr>
        <w:tc>
          <w:tcPr>
            <w:tcW w:type="dxa" w:w="2304"/>
            <w:tcMar>
              <w:top w:w="65" w:type="dxa"/>
              <w:start w:w="70" w:type="dxa"/>
              <w:bottom w:w="65" w:type="dxa"/>
              <w:end w:w="70" w:type="dxa"/>
            </w:tcMar>
            <w:vAlign w:val="top"/>
          </w:tcPr>
          <w:p>
            <w:pPr>
              <w:spacing w:after="0" w:line="240" w:lineRule="auto"/>
            </w:pPr>
            <w:r>
              <w:rPr>
                <w:rFonts w:ascii="Aptos" w:hAnsi="Aptos" w:eastAsia="Aptos"/>
                <w:b w:val="0"/>
                <w:color w:val="1F2933"/>
                <w:sz w:val="18"/>
              </w:rPr>
              <w:t>Problem</w:t>
            </w:r>
          </w:p>
        </w:tc>
        <w:tc>
          <w:tcPr>
            <w:tcW w:type="dxa" w:w="8136"/>
            <w:tcMar>
              <w:top w:w="65" w:type="dxa"/>
              <w:start w:w="70" w:type="dxa"/>
              <w:bottom w:w="65" w:type="dxa"/>
              <w:end w:w="70" w:type="dxa"/>
            </w:tcMar>
            <w:vAlign w:val="top"/>
          </w:tcPr>
          <w:p>
            <w:pPr>
              <w:spacing w:after="0" w:line="240" w:lineRule="auto"/>
            </w:pPr>
            <w:r>
              <w:rPr>
                <w:rFonts w:ascii="Aptos" w:hAnsi="Aptos" w:eastAsia="Aptos"/>
                <w:b w:val="0"/>
                <w:color w:val="1F2933"/>
                <w:sz w:val="18"/>
              </w:rPr>
              <w:t>AI adoption is fragmented; ownership, inventory, risk assessment, approval, monitoring, and evidence are inconsistent.</w:t>
            </w:r>
          </w:p>
        </w:tc>
      </w:tr>
      <w:tr>
        <w:trPr>
          <w:cantSplit/>
        </w:trPr>
        <w:tc>
          <w:tcPr>
            <w:tcW w:type="dxa" w:w="230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8"/>
              </w:rPr>
              <w:t>Opportunity</w:t>
            </w:r>
          </w:p>
        </w:tc>
        <w:tc>
          <w:tcPr>
            <w:tcW w:type="dxa" w:w="813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8"/>
              </w:rPr>
              <w:t>AI can create operational and productivity value across six named use cases, while a controlled enterprise assistant can reduce reliance on unmanaged public tools.</w:t>
            </w:r>
          </w:p>
        </w:tc>
      </w:tr>
      <w:tr>
        <w:trPr>
          <w:cantSplit/>
        </w:trPr>
        <w:tc>
          <w:tcPr>
            <w:tcW w:type="dxa" w:w="2304"/>
            <w:tcMar>
              <w:top w:w="65" w:type="dxa"/>
              <w:start w:w="70" w:type="dxa"/>
              <w:bottom w:w="65" w:type="dxa"/>
              <w:end w:w="70" w:type="dxa"/>
            </w:tcMar>
            <w:vAlign w:val="top"/>
          </w:tcPr>
          <w:p>
            <w:pPr>
              <w:spacing w:after="0" w:line="240" w:lineRule="auto"/>
            </w:pPr>
            <w:r>
              <w:rPr>
                <w:rFonts w:ascii="Aptos" w:hAnsi="Aptos" w:eastAsia="Aptos"/>
                <w:b w:val="0"/>
                <w:color w:val="1F2933"/>
                <w:sz w:val="18"/>
              </w:rPr>
              <w:t>Risk</w:t>
            </w:r>
          </w:p>
        </w:tc>
        <w:tc>
          <w:tcPr>
            <w:tcW w:type="dxa" w:w="8136"/>
            <w:tcMar>
              <w:top w:w="65" w:type="dxa"/>
              <w:start w:w="70" w:type="dxa"/>
              <w:bottom w:w="65" w:type="dxa"/>
              <w:end w:w="70" w:type="dxa"/>
            </w:tcMar>
            <w:vAlign w:val="top"/>
          </w:tcPr>
          <w:p>
            <w:pPr>
              <w:spacing w:after="0" w:line="240" w:lineRule="auto"/>
            </w:pPr>
            <w:r>
              <w:rPr>
                <w:rFonts w:ascii="Aptos" w:hAnsi="Aptos" w:eastAsia="Aptos"/>
                <w:b w:val="0"/>
                <w:color w:val="1F2933"/>
                <w:sz w:val="18"/>
              </w:rPr>
              <w:t>DuckTalent AI and unregistered GenAI are currently assessed as Critical; QuackBot, DuckDesign AI, WingInspect Vision, and PondGPT require restricted or blocked deployment conditions.</w:t>
            </w:r>
          </w:p>
        </w:tc>
      </w:tr>
      <w:tr>
        <w:trPr>
          <w:cantSplit/>
        </w:trPr>
        <w:tc>
          <w:tcPr>
            <w:tcW w:type="dxa" w:w="230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8"/>
              </w:rPr>
              <w:t>Recommended response</w:t>
            </w:r>
          </w:p>
        </w:tc>
        <w:tc>
          <w:tcPr>
            <w:tcW w:type="dxa" w:w="813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8"/>
              </w:rPr>
              <w:t>Implement a centralized policy and assurance backbone with risk-tiered lifecycle governance embedded into existing business processes.</w:t>
            </w:r>
          </w:p>
        </w:tc>
      </w:tr>
      <w:tr>
        <w:trPr>
          <w:cantSplit/>
        </w:trPr>
        <w:tc>
          <w:tcPr>
            <w:tcW w:type="dxa" w:w="2304"/>
            <w:tcMar>
              <w:top w:w="65" w:type="dxa"/>
              <w:start w:w="70" w:type="dxa"/>
              <w:bottom w:w="65" w:type="dxa"/>
              <w:end w:w="70" w:type="dxa"/>
            </w:tcMar>
            <w:vAlign w:val="top"/>
          </w:tcPr>
          <w:p>
            <w:pPr>
              <w:spacing w:after="0" w:line="240" w:lineRule="auto"/>
            </w:pPr>
            <w:r>
              <w:rPr>
                <w:rFonts w:ascii="Aptos" w:hAnsi="Aptos" w:eastAsia="Aptos"/>
                <w:b w:val="0"/>
                <w:color w:val="1F2933"/>
                <w:sz w:val="18"/>
              </w:rPr>
              <w:t>Financial position</w:t>
            </w:r>
          </w:p>
        </w:tc>
        <w:tc>
          <w:tcPr>
            <w:tcW w:type="dxa" w:w="8136"/>
            <w:tcMar>
              <w:top w:w="65" w:type="dxa"/>
              <w:start w:w="70" w:type="dxa"/>
              <w:bottom w:w="65" w:type="dxa"/>
              <w:end w:w="70" w:type="dxa"/>
            </w:tcMar>
            <w:vAlign w:val="top"/>
          </w:tcPr>
          <w:p>
            <w:pPr>
              <w:spacing w:after="0" w:line="240" w:lineRule="auto"/>
            </w:pPr>
            <w:r>
              <w:rPr>
                <w:rFonts w:ascii="Aptos" w:hAnsi="Aptos" w:eastAsia="Aptos"/>
                <w:b w:val="0"/>
                <w:color w:val="1F2933"/>
                <w:sz w:val="18"/>
              </w:rPr>
              <w:t>Do not claim ROI yet. Establish baselines and benefits-realization measures before quantifying payback, NPV, or productivity savings.</w:t>
            </w:r>
          </w:p>
        </w:tc>
      </w:tr>
      <w:tr>
        <w:trPr>
          <w:cantSplit/>
        </w:trPr>
        <w:tc>
          <w:tcPr>
            <w:tcW w:type="dxa" w:w="230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8"/>
              </w:rPr>
              <w:t>Decision sought</w:t>
            </w:r>
          </w:p>
        </w:tc>
        <w:tc>
          <w:tcPr>
            <w:tcW w:type="dxa" w:w="813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8"/>
              </w:rPr>
              <w:t>Approve the next implementation phase, owners, specialist participation, and staged governance gates; maintain existing release restrictions until acceptance conditions are evidenced.</w:t>
            </w:r>
          </w:p>
        </w:tc>
      </w:tr>
    </w:tbl>
    <w:p>
      <w:pPr>
        <w:keepNext/>
        <w:spacing w:before="200" w:after="100"/>
      </w:pPr>
      <w:r>
        <w:rPr>
          <w:rFonts w:ascii="Aptos" w:hAnsi="Aptos" w:eastAsia="Aptos"/>
          <w:b/>
          <w:color w:val="173A5E"/>
          <w:sz w:val="30"/>
        </w:rPr>
        <w:t>2. Business Context and Case for Change</w:t>
      </w:r>
    </w:p>
    <w:p>
      <w:pPr>
        <w:spacing w:after="100" w:line="259" w:lineRule="auto"/>
      </w:pPr>
      <w:r>
        <w:rPr>
          <w:rFonts w:ascii="Aptos" w:hAnsi="Aptos" w:eastAsia="Aptos"/>
          <w:b w:val="0"/>
          <w:color w:val="1F2933"/>
          <w:sz w:val="20"/>
        </w:rPr>
        <w:t>Duckworks is a fictional European advanced-manufacturing and technology company with approximately 1,200 employees. Project W.I.N.G. is the organization’s broader digital and AI transformation program. Management expects AI to improve competitiveness, operational efficiency, customer service, engineering throughput, planning, and workforce productivity.</w:t>
      </w:r>
    </w:p>
    <w:p>
      <w:pPr>
        <w:spacing w:after="100" w:line="259" w:lineRule="auto"/>
      </w:pPr>
      <w:r>
        <w:rPr>
          <w:rFonts w:ascii="Aptos" w:hAnsi="Aptos" w:eastAsia="Aptos"/>
          <w:b w:val="0"/>
          <w:color w:val="1F2933"/>
          <w:sz w:val="20"/>
        </w:rPr>
        <w:t>The governance problem emerged because AI acquisition, development, experimentation, and use are distributed across departments. Duckworks does not yet have a single enterprise mechanism that consistently identifies the system, owner, data, affected parties, third parties, applicable obligations, risk, controls, approval state, monitoring expectations, and evidence for each material AI use case.</w:t>
      </w:r>
    </w:p>
    <w:p>
      <w:pPr>
        <w:spacing w:after="20" w:before="0" w:line="120" w:lineRule="auto"/>
      </w:pPr>
    </w:p>
    <w:tbl>
      <w:tblPr>
        <w:tblW w:type="auto" w:w="0"/>
        <w:jc w:val="center"/>
        <w:tblLook w:firstColumn="1" w:firstRow="1" w:lastColumn="0" w:lastRow="0" w:noHBand="0" w:noVBand="1" w:val="04A0"/>
        <w:tblBorders>
          <w:top w:val="single" w:sz="8" w:space="0" w:color="B37A21"/>
          <w:left w:val="single" w:sz="8" w:space="0" w:color="B37A21"/>
          <w:bottom w:val="single" w:sz="8" w:space="0" w:color="B37A21"/>
          <w:right w:val="single" w:sz="8" w:space="0" w:color="B37A21"/>
          <w:insideH w:val="single" w:sz="8" w:space="0" w:color="B37A21"/>
          <w:insideV w:val="single" w:sz="8" w:space="0" w:color="B37A21"/>
        </w:tblBorders>
      </w:tblPr>
      <w:tblGrid>
        <w:gridCol w:w="10454"/>
      </w:tblGrid>
      <w:tr>
        <w:trPr>
          <w:cantSplit/>
        </w:trPr>
        <w:tc>
          <w:tcPr>
            <w:tcW w:type="dxa" w:w="10454"/>
            <w:shd w:fill="FDF3E7"/>
            <w:tcMar>
              <w:top w:w="100" w:type="dxa"/>
              <w:start w:w="120" w:type="dxa"/>
              <w:bottom w:w="100" w:type="dxa"/>
              <w:end w:w="120" w:type="dxa"/>
            </w:tcMar>
          </w:tcPr>
          <w:p>
            <w:pPr>
              <w:spacing w:after="60"/>
            </w:pPr>
            <w:r>
              <w:rPr>
                <w:rFonts w:ascii="Aptos" w:hAnsi="Aptos" w:eastAsia="Aptos"/>
                <w:b/>
                <w:color w:val="B37A21"/>
                <w:sz w:val="21"/>
              </w:rPr>
              <w:t>Case-for-change trigger</w:t>
            </w:r>
          </w:p>
          <w:p>
            <w:pPr>
              <w:spacing w:after="0" w:line="252" w:lineRule="auto"/>
            </w:pPr>
            <w:r>
              <w:rPr>
                <w:rFonts w:ascii="Aptos" w:hAnsi="Aptos" w:eastAsia="Aptos"/>
                <w:b w:val="0"/>
                <w:color w:val="1F2933"/>
                <w:sz w:val="20"/>
              </w:rPr>
              <w:t>Information Security has discovered unregistered employee use of public generative-AI services for internal correspondence, code generation, translation, technical material, customer communications, HR documentation, and browser-based extensions. Some use may involve confidential or personal data without consistent security, privacy, procurement, or contractual review.</w:t>
            </w:r>
          </w:p>
        </w:tc>
      </w:tr>
    </w:tbl>
    <w:p>
      <w:pPr>
        <w:keepNext/>
        <w:spacing w:before="200" w:after="100"/>
      </w:pPr>
      <w:r>
        <w:rPr>
          <w:rFonts w:ascii="Aptos" w:hAnsi="Aptos" w:eastAsia="Aptos"/>
          <w:b/>
          <w:color w:val="173A5E"/>
          <w:sz w:val="30"/>
        </w:rPr>
        <w:t>3. Strategic Business Objectives</w:t>
      </w:r>
    </w:p>
    <w:p>
      <w:pPr>
        <w:spacing w:after="100" w:line="259" w:lineRule="auto"/>
      </w:pPr>
      <w:r>
        <w:rPr>
          <w:rFonts w:ascii="Aptos" w:hAnsi="Aptos" w:eastAsia="Aptos"/>
          <w:b w:val="0"/>
          <w:color w:val="1F2933"/>
          <w:sz w:val="20"/>
        </w:rPr>
        <w:t>The business case supports the existing Duckworks project objectives rather than creating a parallel governance agenda. The principal outcomes are:</w:t>
      </w:r>
    </w:p>
    <w:p>
      <w:pPr>
        <w:pStyle w:val="ListBullet"/>
        <w:spacing w:after="40" w:line="252" w:lineRule="auto"/>
        <w:ind w:left="360" w:hanging="216"/>
      </w:pPr>
      <w:r>
        <w:rPr>
          <w:rFonts w:ascii="Aptos" w:hAnsi="Aptos" w:eastAsia="Aptos"/>
          <w:color w:val="1F2933"/>
          <w:sz w:val="20"/>
        </w:rPr>
        <w:t>Enable responsible AI adoption without imposing the same governance burden on every use case.</w:t>
      </w:r>
    </w:p>
    <w:p>
      <w:pPr>
        <w:pStyle w:val="ListBullet"/>
        <w:spacing w:after="40" w:line="252" w:lineRule="auto"/>
        <w:ind w:left="360" w:hanging="216"/>
      </w:pPr>
      <w:r>
        <w:rPr>
          <w:rFonts w:ascii="Aptos" w:hAnsi="Aptos" w:eastAsia="Aptos"/>
          <w:color w:val="1F2933"/>
          <w:sz w:val="20"/>
        </w:rPr>
        <w:t>Establish enterprise-wide visibility of approved, planned, pilot, third-party, and discovered shadow AI.</w:t>
      </w:r>
    </w:p>
    <w:p>
      <w:pPr>
        <w:pStyle w:val="ListBullet"/>
        <w:spacing w:after="40" w:line="252" w:lineRule="auto"/>
        <w:ind w:left="360" w:hanging="216"/>
      </w:pPr>
      <w:r>
        <w:rPr>
          <w:rFonts w:ascii="Aptos" w:hAnsi="Aptos" w:eastAsia="Aptos"/>
          <w:color w:val="1F2933"/>
          <w:sz w:val="20"/>
        </w:rPr>
        <w:t>Create clear ownership, decision rights, escalation, approval, and independent assurance boundaries.</w:t>
      </w:r>
    </w:p>
    <w:p>
      <w:pPr>
        <w:pStyle w:val="ListBullet"/>
        <w:spacing w:after="40" w:line="252" w:lineRule="auto"/>
        <w:ind w:left="360" w:hanging="216"/>
      </w:pPr>
      <w:r>
        <w:rPr>
          <w:rFonts w:ascii="Aptos" w:hAnsi="Aptos" w:eastAsia="Aptos"/>
          <w:color w:val="1F2933"/>
          <w:sz w:val="20"/>
        </w:rPr>
        <w:t>Apply consistent risk and impact assessment with explicit separation between internal risk ratings and legal classifications.</w:t>
      </w:r>
    </w:p>
    <w:p>
      <w:pPr>
        <w:pStyle w:val="ListBullet"/>
        <w:spacing w:after="40" w:line="252" w:lineRule="auto"/>
        <w:ind w:left="360" w:hanging="216"/>
      </w:pPr>
      <w:r>
        <w:rPr>
          <w:rFonts w:ascii="Aptos" w:hAnsi="Aptos" w:eastAsia="Aptos"/>
          <w:color w:val="1F2933"/>
          <w:sz w:val="20"/>
        </w:rPr>
        <w:t>Integrate AI governance with existing security, privacy, procurement, engineering, change, incident, enterprise-risk, and internal-audit processes.</w:t>
      </w:r>
    </w:p>
    <w:p>
      <w:pPr>
        <w:pStyle w:val="ListBullet"/>
        <w:spacing w:after="40" w:line="252" w:lineRule="auto"/>
        <w:ind w:left="360" w:hanging="216"/>
      </w:pPr>
      <w:r>
        <w:rPr>
          <w:rFonts w:ascii="Aptos" w:hAnsi="Aptos" w:eastAsia="Aptos"/>
          <w:color w:val="1F2933"/>
          <w:sz w:val="20"/>
        </w:rPr>
        <w:t>Require evidence for material control and approval claims so that governance decisions are auditable.</w:t>
      </w:r>
    </w:p>
    <w:p>
      <w:pPr>
        <w:pStyle w:val="ListBullet"/>
        <w:spacing w:after="40" w:line="252" w:lineRule="auto"/>
        <w:ind w:left="360" w:hanging="216"/>
      </w:pPr>
      <w:r>
        <w:rPr>
          <w:rFonts w:ascii="Aptos" w:hAnsi="Aptos" w:eastAsia="Aptos"/>
          <w:color w:val="1F2933"/>
          <w:sz w:val="20"/>
        </w:rPr>
        <w:t>Create management reporting that prioritizes critical risks, blocked systems, overdue actions, incidents, third-party exposure, and reassessments.</w:t>
      </w:r>
    </w:p>
    <w:p>
      <w:pPr>
        <w:keepNext/>
        <w:spacing w:before="200" w:after="100"/>
      </w:pPr>
      <w:r>
        <w:rPr>
          <w:rFonts w:ascii="Aptos" w:hAnsi="Aptos" w:eastAsia="Aptos"/>
          <w:b/>
          <w:color w:val="173A5E"/>
          <w:sz w:val="30"/>
        </w:rPr>
        <w:t>4. Business Value Opportunity by AI Use Case</w:t>
      </w:r>
    </w:p>
    <w:p>
      <w:pPr>
        <w:spacing w:after="100" w:line="259" w:lineRule="auto"/>
      </w:pPr>
      <w:r>
        <w:rPr>
          <w:rFonts w:ascii="Aptos" w:hAnsi="Aptos" w:eastAsia="Aptos"/>
          <w:b w:val="0"/>
          <w:color w:val="1F2933"/>
          <w:sz w:val="20"/>
        </w:rPr>
        <w:t>The project sources describe intended business benefits but do not provide quantified baselines or validated savings. The values below are therefore benefit hypotheses to be measured, not realized benefits or ROI claims.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13"/>
        <w:gridCol w:w="2613"/>
        <w:gridCol w:w="2613"/>
        <w:gridCol w:w="2613"/>
      </w:tblGrid>
      <w:tr>
        <w:trPr>
          <w:tblHeader w:val="true"/>
          <w:cantSplit/>
        </w:trPr>
        <w:tc>
          <w:tcPr>
            <w:tcW w:type="dxa" w:w="792"/>
            <w:shd w:fill="173A5E"/>
            <w:tcMar>
              <w:top w:w="70" w:type="dxa"/>
              <w:start w:w="70" w:type="dxa"/>
              <w:bottom w:w="70" w:type="dxa"/>
              <w:end w:w="70" w:type="dxa"/>
            </w:tcMar>
          </w:tcPr>
          <w:p>
            <w:pPr>
              <w:spacing w:after="0"/>
            </w:pPr>
            <w:r>
              <w:rPr>
                <w:rFonts w:ascii="Aptos" w:hAnsi="Aptos" w:eastAsia="Aptos"/>
                <w:b/>
                <w:color w:val="FFFFFF"/>
                <w:sz w:val="16"/>
              </w:rPr>
              <w:t>ID</w:t>
            </w:r>
          </w:p>
        </w:tc>
        <w:tc>
          <w:tcPr>
            <w:tcW w:type="dxa" w:w="1800"/>
            <w:shd w:fill="173A5E"/>
            <w:tcMar>
              <w:top w:w="70" w:type="dxa"/>
              <w:start w:w="70" w:type="dxa"/>
              <w:bottom w:w="70" w:type="dxa"/>
              <w:end w:w="70" w:type="dxa"/>
            </w:tcMar>
          </w:tcPr>
          <w:p>
            <w:pPr>
              <w:spacing w:after="0"/>
            </w:pPr>
            <w:r>
              <w:rPr>
                <w:rFonts w:ascii="Aptos" w:hAnsi="Aptos" w:eastAsia="Aptos"/>
                <w:b/>
                <w:color w:val="FFFFFF"/>
                <w:sz w:val="16"/>
              </w:rPr>
              <w:t>System</w:t>
            </w:r>
          </w:p>
        </w:tc>
        <w:tc>
          <w:tcPr>
            <w:tcW w:type="dxa" w:w="5328"/>
            <w:shd w:fill="173A5E"/>
            <w:tcMar>
              <w:top w:w="70" w:type="dxa"/>
              <w:start w:w="70" w:type="dxa"/>
              <w:bottom w:w="70" w:type="dxa"/>
              <w:end w:w="70" w:type="dxa"/>
            </w:tcMar>
          </w:tcPr>
          <w:p>
            <w:pPr>
              <w:spacing w:after="0"/>
            </w:pPr>
            <w:r>
              <w:rPr>
                <w:rFonts w:ascii="Aptos" w:hAnsi="Aptos" w:eastAsia="Aptos"/>
                <w:b/>
                <w:color w:val="FFFFFF"/>
                <w:sz w:val="16"/>
              </w:rPr>
              <w:t>Value Hypothesis</w:t>
            </w:r>
          </w:p>
        </w:tc>
        <w:tc>
          <w:tcPr>
            <w:tcW w:type="dxa" w:w="2376"/>
            <w:shd w:fill="173A5E"/>
            <w:tcMar>
              <w:top w:w="70" w:type="dxa"/>
              <w:start w:w="70" w:type="dxa"/>
              <w:bottom w:w="70" w:type="dxa"/>
              <w:end w:w="70" w:type="dxa"/>
            </w:tcMar>
          </w:tcPr>
          <w:p>
            <w:pPr>
              <w:spacing w:after="0"/>
            </w:pPr>
            <w:r>
              <w:rPr>
                <w:rFonts w:ascii="Aptos" w:hAnsi="Aptos" w:eastAsia="Aptos"/>
                <w:b/>
                <w:color w:val="FFFFFF"/>
                <w:sz w:val="16"/>
              </w:rPr>
              <w:t>Current Governance Gate</w:t>
            </w:r>
          </w:p>
        </w:tc>
      </w:tr>
      <w:tr>
        <w:trPr>
          <w:cantSplit/>
        </w:trPr>
        <w:tc>
          <w:tcPr>
            <w:tcW w:type="dxa" w:w="792"/>
            <w:tcMar>
              <w:top w:w="65" w:type="dxa"/>
              <w:start w:w="70" w:type="dxa"/>
              <w:bottom w:w="65" w:type="dxa"/>
              <w:end w:w="70" w:type="dxa"/>
            </w:tcMar>
            <w:vAlign w:val="top"/>
          </w:tcPr>
          <w:p>
            <w:pPr>
              <w:spacing w:after="0" w:line="240" w:lineRule="auto"/>
            </w:pPr>
            <w:r>
              <w:rPr>
                <w:rFonts w:ascii="Aptos" w:hAnsi="Aptos" w:eastAsia="Aptos"/>
                <w:b w:val="0"/>
                <w:color w:val="1F2933"/>
                <w:sz w:val="16"/>
              </w:rPr>
              <w:t>AI-001</w:t>
            </w:r>
          </w:p>
        </w:tc>
        <w:tc>
          <w:tcPr>
            <w:tcW w:type="dxa" w:w="1800"/>
            <w:tcMar>
              <w:top w:w="65" w:type="dxa"/>
              <w:start w:w="70" w:type="dxa"/>
              <w:bottom w:w="65" w:type="dxa"/>
              <w:end w:w="70" w:type="dxa"/>
            </w:tcMar>
            <w:vAlign w:val="top"/>
          </w:tcPr>
          <w:p>
            <w:pPr>
              <w:spacing w:after="0" w:line="240" w:lineRule="auto"/>
            </w:pPr>
            <w:r>
              <w:rPr>
                <w:rFonts w:ascii="Aptos" w:hAnsi="Aptos" w:eastAsia="Aptos"/>
                <w:b w:val="0"/>
                <w:color w:val="1F2933"/>
                <w:sz w:val="16"/>
              </w:rPr>
              <w:t>DuckDesign AI</w:t>
            </w:r>
          </w:p>
        </w:tc>
        <w:tc>
          <w:tcPr>
            <w:tcW w:type="dxa" w:w="5328"/>
            <w:tcMar>
              <w:top w:w="65" w:type="dxa"/>
              <w:start w:w="70" w:type="dxa"/>
              <w:bottom w:w="65" w:type="dxa"/>
              <w:end w:w="70" w:type="dxa"/>
            </w:tcMar>
            <w:vAlign w:val="top"/>
          </w:tcPr>
          <w:p>
            <w:pPr>
              <w:spacing w:after="0" w:line="240" w:lineRule="auto"/>
            </w:pPr>
            <w:r>
              <w:rPr>
                <w:rFonts w:ascii="Aptos" w:hAnsi="Aptos" w:eastAsia="Aptos"/>
                <w:b w:val="0"/>
                <w:color w:val="1F2933"/>
                <w:sz w:val="16"/>
              </w:rPr>
              <w:t>Faster design cycles; less repetitive engineering work; support for component/material optimization.</w:t>
            </w:r>
          </w:p>
        </w:tc>
        <w:tc>
          <w:tcPr>
            <w:tcW w:type="dxa" w:w="2376"/>
            <w:tcMar>
              <w:top w:w="65" w:type="dxa"/>
              <w:start w:w="70" w:type="dxa"/>
              <w:bottom w:w="65" w:type="dxa"/>
              <w:end w:w="70" w:type="dxa"/>
            </w:tcMar>
            <w:vAlign w:val="top"/>
          </w:tcPr>
          <w:p>
            <w:pPr>
              <w:spacing w:after="0" w:line="240" w:lineRule="auto"/>
            </w:pPr>
            <w:r>
              <w:rPr>
                <w:rFonts w:ascii="Aptos" w:hAnsi="Aptos" w:eastAsia="Aptos"/>
                <w:b w:val="0"/>
                <w:color w:val="1F2933"/>
                <w:sz w:val="16"/>
              </w:rPr>
              <w:t>Restricted pilot only</w:t>
            </w:r>
          </w:p>
        </w:tc>
      </w:tr>
      <w:tr>
        <w:trPr>
          <w:cantSplit/>
        </w:trPr>
        <w:tc>
          <w:tcPr>
            <w:tcW w:type="dxa" w:w="79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AI-002</w:t>
            </w:r>
          </w:p>
        </w:tc>
        <w:tc>
          <w:tcPr>
            <w:tcW w:type="dxa" w:w="180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QuackBot</w:t>
            </w:r>
          </w:p>
        </w:tc>
        <w:tc>
          <w:tcPr>
            <w:tcW w:type="dxa" w:w="532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Reduced customer-support response times; improved availability; faster access to product and troubleshooting information.</w:t>
            </w:r>
          </w:p>
        </w:tc>
        <w:tc>
          <w:tcPr>
            <w:tcW w:type="dxa" w:w="237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Production blocked pending gates</w:t>
            </w:r>
          </w:p>
        </w:tc>
      </w:tr>
      <w:tr>
        <w:trPr>
          <w:cantSplit/>
        </w:trPr>
        <w:tc>
          <w:tcPr>
            <w:tcW w:type="dxa" w:w="792"/>
            <w:tcMar>
              <w:top w:w="65" w:type="dxa"/>
              <w:start w:w="70" w:type="dxa"/>
              <w:bottom w:w="65" w:type="dxa"/>
              <w:end w:w="70" w:type="dxa"/>
            </w:tcMar>
            <w:vAlign w:val="top"/>
          </w:tcPr>
          <w:p>
            <w:pPr>
              <w:spacing w:after="0" w:line="240" w:lineRule="auto"/>
            </w:pPr>
            <w:r>
              <w:rPr>
                <w:rFonts w:ascii="Aptos" w:hAnsi="Aptos" w:eastAsia="Aptos"/>
                <w:b w:val="0"/>
                <w:color w:val="1F2933"/>
                <w:sz w:val="16"/>
              </w:rPr>
              <w:t>AI-003</w:t>
            </w:r>
          </w:p>
        </w:tc>
        <w:tc>
          <w:tcPr>
            <w:tcW w:type="dxa" w:w="1800"/>
            <w:tcMar>
              <w:top w:w="65" w:type="dxa"/>
              <w:start w:w="70" w:type="dxa"/>
              <w:bottom w:w="65" w:type="dxa"/>
              <w:end w:w="70" w:type="dxa"/>
            </w:tcMar>
            <w:vAlign w:val="top"/>
          </w:tcPr>
          <w:p>
            <w:pPr>
              <w:spacing w:after="0" w:line="240" w:lineRule="auto"/>
            </w:pPr>
            <w:r>
              <w:rPr>
                <w:rFonts w:ascii="Aptos" w:hAnsi="Aptos" w:eastAsia="Aptos"/>
                <w:b w:val="0"/>
                <w:color w:val="1F2933"/>
                <w:sz w:val="16"/>
              </w:rPr>
              <w:t>FeatherForecast</w:t>
            </w:r>
          </w:p>
        </w:tc>
        <w:tc>
          <w:tcPr>
            <w:tcW w:type="dxa" w:w="5328"/>
            <w:tcMar>
              <w:top w:w="65" w:type="dxa"/>
              <w:start w:w="70" w:type="dxa"/>
              <w:bottom w:w="65" w:type="dxa"/>
              <w:end w:w="70" w:type="dxa"/>
            </w:tcMar>
            <w:vAlign w:val="top"/>
          </w:tcPr>
          <w:p>
            <w:pPr>
              <w:spacing w:after="0" w:line="240" w:lineRule="auto"/>
            </w:pPr>
            <w:r>
              <w:rPr>
                <w:rFonts w:ascii="Aptos" w:hAnsi="Aptos" w:eastAsia="Aptos"/>
                <w:b w:val="0"/>
                <w:color w:val="1F2933"/>
                <w:sz w:val="16"/>
              </w:rPr>
              <w:t>Reduced excess inventory; improved demand, manufacturing, shortage, and supplier planning.</w:t>
            </w:r>
          </w:p>
        </w:tc>
        <w:tc>
          <w:tcPr>
            <w:tcW w:type="dxa" w:w="2376"/>
            <w:tcMar>
              <w:top w:w="65" w:type="dxa"/>
              <w:start w:w="70" w:type="dxa"/>
              <w:bottom w:w="65" w:type="dxa"/>
              <w:end w:w="70" w:type="dxa"/>
            </w:tcMar>
            <w:vAlign w:val="top"/>
          </w:tcPr>
          <w:p>
            <w:pPr>
              <w:spacing w:after="0" w:line="240" w:lineRule="auto"/>
            </w:pPr>
            <w:r>
              <w:rPr>
                <w:rFonts w:ascii="Aptos" w:hAnsi="Aptos" w:eastAsia="Aptos"/>
                <w:b w:val="0"/>
                <w:color w:val="1F2933"/>
                <w:sz w:val="16"/>
              </w:rPr>
              <w:t>Continue with monitoring</w:t>
            </w:r>
          </w:p>
        </w:tc>
      </w:tr>
      <w:tr>
        <w:trPr>
          <w:cantSplit/>
        </w:trPr>
        <w:tc>
          <w:tcPr>
            <w:tcW w:type="dxa" w:w="79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AI-004</w:t>
            </w:r>
          </w:p>
        </w:tc>
        <w:tc>
          <w:tcPr>
            <w:tcW w:type="dxa" w:w="180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WingInspect Vision</w:t>
            </w:r>
          </w:p>
        </w:tc>
        <w:tc>
          <w:tcPr>
            <w:tcW w:type="dxa" w:w="532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Improved production-line defect detection and quality-control support while retaining human final acceptance.</w:t>
            </w:r>
          </w:p>
        </w:tc>
        <w:tc>
          <w:tcPr>
            <w:tcW w:type="dxa" w:w="237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Restricted pilot only</w:t>
            </w:r>
          </w:p>
        </w:tc>
      </w:tr>
      <w:tr>
        <w:trPr>
          <w:cantSplit/>
        </w:trPr>
        <w:tc>
          <w:tcPr>
            <w:tcW w:type="dxa" w:w="792"/>
            <w:tcMar>
              <w:top w:w="65" w:type="dxa"/>
              <w:start w:w="70" w:type="dxa"/>
              <w:bottom w:w="65" w:type="dxa"/>
              <w:end w:w="70" w:type="dxa"/>
            </w:tcMar>
            <w:vAlign w:val="top"/>
          </w:tcPr>
          <w:p>
            <w:pPr>
              <w:spacing w:after="0" w:line="240" w:lineRule="auto"/>
            </w:pPr>
            <w:r>
              <w:rPr>
                <w:rFonts w:ascii="Aptos" w:hAnsi="Aptos" w:eastAsia="Aptos"/>
                <w:b w:val="0"/>
                <w:color w:val="1F2933"/>
                <w:sz w:val="16"/>
              </w:rPr>
              <w:t>AI-005</w:t>
            </w:r>
          </w:p>
        </w:tc>
        <w:tc>
          <w:tcPr>
            <w:tcW w:type="dxa" w:w="1800"/>
            <w:tcMar>
              <w:top w:w="65" w:type="dxa"/>
              <w:start w:w="70" w:type="dxa"/>
              <w:bottom w:w="65" w:type="dxa"/>
              <w:end w:w="70" w:type="dxa"/>
            </w:tcMar>
            <w:vAlign w:val="top"/>
          </w:tcPr>
          <w:p>
            <w:pPr>
              <w:spacing w:after="0" w:line="240" w:lineRule="auto"/>
            </w:pPr>
            <w:r>
              <w:rPr>
                <w:rFonts w:ascii="Aptos" w:hAnsi="Aptos" w:eastAsia="Aptos"/>
                <w:b w:val="0"/>
                <w:color w:val="1F2933"/>
                <w:sz w:val="16"/>
              </w:rPr>
              <w:t>DuckTalent AI</w:t>
            </w:r>
          </w:p>
        </w:tc>
        <w:tc>
          <w:tcPr>
            <w:tcW w:type="dxa" w:w="5328"/>
            <w:tcMar>
              <w:top w:w="65" w:type="dxa"/>
              <w:start w:w="70" w:type="dxa"/>
              <w:bottom w:w="65" w:type="dxa"/>
              <w:end w:w="70" w:type="dxa"/>
            </w:tcMar>
            <w:vAlign w:val="top"/>
          </w:tcPr>
          <w:p>
            <w:pPr>
              <w:spacing w:after="0" w:line="240" w:lineRule="auto"/>
            </w:pPr>
            <w:r>
              <w:rPr>
                <w:rFonts w:ascii="Aptos" w:hAnsi="Aptos" w:eastAsia="Aptos"/>
                <w:b w:val="0"/>
                <w:color w:val="1F2933"/>
                <w:sz w:val="16"/>
              </w:rPr>
              <w:t>Reduced recruiter workload; more structured CV parsing, comparison, summarization, and candidate review support.</w:t>
            </w:r>
          </w:p>
        </w:tc>
        <w:tc>
          <w:tcPr>
            <w:tcW w:type="dxa" w:w="2376"/>
            <w:tcMar>
              <w:top w:w="65" w:type="dxa"/>
              <w:start w:w="70" w:type="dxa"/>
              <w:bottom w:w="65" w:type="dxa"/>
              <w:end w:w="70" w:type="dxa"/>
            </w:tcMar>
            <w:vAlign w:val="top"/>
          </w:tcPr>
          <w:p>
            <w:pPr>
              <w:spacing w:after="0" w:line="240" w:lineRule="auto"/>
            </w:pPr>
            <w:r>
              <w:rPr>
                <w:rFonts w:ascii="Aptos" w:hAnsi="Aptos" w:eastAsia="Aptos"/>
                <w:b w:val="0"/>
                <w:color w:val="1F2933"/>
                <w:sz w:val="16"/>
              </w:rPr>
              <w:t>Do not deploy in current state</w:t>
            </w:r>
          </w:p>
        </w:tc>
      </w:tr>
      <w:tr>
        <w:trPr>
          <w:cantSplit/>
        </w:trPr>
        <w:tc>
          <w:tcPr>
            <w:tcW w:type="dxa" w:w="79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AI-006</w:t>
            </w:r>
          </w:p>
        </w:tc>
        <w:tc>
          <w:tcPr>
            <w:tcW w:type="dxa" w:w="180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PondGPT</w:t>
            </w:r>
          </w:p>
        </w:tc>
        <w:tc>
          <w:tcPr>
            <w:tcW w:type="dxa" w:w="532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Employee productivity in drafting, summarization, research, coding, meetings, and knowledge retrieval; controlled alternative to public GenAI.</w:t>
            </w:r>
          </w:p>
        </w:tc>
        <w:tc>
          <w:tcPr>
            <w:tcW w:type="dxa" w:w="237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Restricted pilot only</w:t>
            </w:r>
          </w:p>
        </w:tc>
      </w:tr>
      <w:tr>
        <w:trPr>
          <w:cantSplit/>
        </w:trPr>
        <w:tc>
          <w:tcPr>
            <w:tcW w:type="dxa" w:w="792"/>
            <w:tcMar>
              <w:top w:w="65" w:type="dxa"/>
              <w:start w:w="70" w:type="dxa"/>
              <w:bottom w:w="65" w:type="dxa"/>
              <w:end w:w="70" w:type="dxa"/>
            </w:tcMar>
            <w:vAlign w:val="top"/>
          </w:tcPr>
          <w:p>
            <w:pPr>
              <w:spacing w:after="0" w:line="240" w:lineRule="auto"/>
            </w:pPr>
            <w:r>
              <w:rPr>
                <w:rFonts w:ascii="Aptos" w:hAnsi="Aptos" w:eastAsia="Aptos"/>
                <w:b w:val="0"/>
                <w:color w:val="1F2933"/>
                <w:sz w:val="16"/>
              </w:rPr>
              <w:t>AI-007</w:t>
            </w:r>
          </w:p>
        </w:tc>
        <w:tc>
          <w:tcPr>
            <w:tcW w:type="dxa" w:w="1800"/>
            <w:tcMar>
              <w:top w:w="65" w:type="dxa"/>
              <w:start w:w="70" w:type="dxa"/>
              <w:bottom w:w="65" w:type="dxa"/>
              <w:end w:w="70" w:type="dxa"/>
            </w:tcMar>
            <w:vAlign w:val="top"/>
          </w:tcPr>
          <w:p>
            <w:pPr>
              <w:spacing w:after="0" w:line="240" w:lineRule="auto"/>
            </w:pPr>
            <w:r>
              <w:rPr>
                <w:rFonts w:ascii="Aptos" w:hAnsi="Aptos" w:eastAsia="Aptos"/>
                <w:b w:val="0"/>
                <w:color w:val="1F2933"/>
                <w:sz w:val="16"/>
              </w:rPr>
              <w:t>Unregistered GenAI Usage</w:t>
            </w:r>
          </w:p>
        </w:tc>
        <w:tc>
          <w:tcPr>
            <w:tcW w:type="dxa" w:w="5328"/>
            <w:tcMar>
              <w:top w:w="65" w:type="dxa"/>
              <w:start w:w="70" w:type="dxa"/>
              <w:bottom w:w="65" w:type="dxa"/>
              <w:end w:w="70" w:type="dxa"/>
            </w:tcMar>
            <w:vAlign w:val="top"/>
          </w:tcPr>
          <w:p>
            <w:pPr>
              <w:spacing w:after="0" w:line="240" w:lineRule="auto"/>
            </w:pPr>
            <w:r>
              <w:rPr>
                <w:rFonts w:ascii="Aptos" w:hAnsi="Aptos" w:eastAsia="Aptos"/>
                <w:b w:val="0"/>
                <w:color w:val="1F2933"/>
                <w:sz w:val="16"/>
              </w:rPr>
              <w:t>Evidence of latent employee demand for AI assistance; not a governed system and not treated as a business benefit until decomposed into registered use cases.</w:t>
            </w:r>
          </w:p>
        </w:tc>
        <w:tc>
          <w:tcPr>
            <w:tcW w:type="dxa" w:w="2376"/>
            <w:tcMar>
              <w:top w:w="65" w:type="dxa"/>
              <w:start w:w="70" w:type="dxa"/>
              <w:bottom w:w="65" w:type="dxa"/>
              <w:end w:w="70" w:type="dxa"/>
            </w:tcMar>
            <w:vAlign w:val="top"/>
          </w:tcPr>
          <w:p>
            <w:pPr>
              <w:spacing w:after="0" w:line="240" w:lineRule="auto"/>
            </w:pPr>
            <w:r>
              <w:rPr>
                <w:rFonts w:ascii="Aptos" w:hAnsi="Aptos" w:eastAsia="Aptos"/>
                <w:b w:val="0"/>
                <w:color w:val="1F2933"/>
                <w:sz w:val="16"/>
              </w:rPr>
              <w:t>Immediate containment</w:t>
            </w:r>
          </w:p>
        </w:tc>
      </w:tr>
    </w:tbl>
    <w:p>
      <w:pPr>
        <w:keepNext/>
        <w:spacing w:before="200" w:after="100"/>
      </w:pPr>
      <w:r>
        <w:rPr>
          <w:rFonts w:ascii="Aptos" w:hAnsi="Aptos" w:eastAsia="Aptos"/>
          <w:b/>
          <w:color w:val="173A5E"/>
          <w:sz w:val="30"/>
        </w:rPr>
        <w:t>5. Current Risk and Governance Exposure</w:t>
      </w:r>
    </w:p>
    <w:p>
      <w:pPr>
        <w:spacing w:after="100" w:line="259" w:lineRule="auto"/>
      </w:pPr>
      <w:r>
        <w:rPr>
          <w:rFonts w:ascii="Aptos" w:hAnsi="Aptos" w:eastAsia="Aptos"/>
          <w:b w:val="0"/>
          <w:color w:val="1F2933"/>
          <w:sz w:val="20"/>
        </w:rPr>
        <w:t>The readiness assessment identifies materially different risk profiles across the portfolio. DuckTalent AI is the most significant governed use case because it can influence employment opportunities. Unregistered GenAI is the most immediate governance weakness because it represents uncontrolled use across multiple unknown use cases. Generative AI systems introduce prompt-injection, retrieval-poisoning, data-leakage, excessive-permission, hallucination, and third-party risks. DuckDesign AI and WingInspect Vision can affect product quality or safety if human validation is ineffective. FeatherForecast is comparatively lower-impact but still requires data-quality, drift, monitoring, and oversight controls.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85"/>
        <w:gridCol w:w="3485"/>
        <w:gridCol w:w="3485"/>
      </w:tblGrid>
      <w:tr>
        <w:trPr>
          <w:tblHeader w:val="true"/>
          <w:cantSplit/>
        </w:trPr>
        <w:tc>
          <w:tcPr>
            <w:tcW w:type="dxa" w:w="1872"/>
            <w:shd w:fill="173A5E"/>
            <w:tcMar>
              <w:top w:w="70" w:type="dxa"/>
              <w:start w:w="70" w:type="dxa"/>
              <w:bottom w:w="70" w:type="dxa"/>
              <w:end w:w="70" w:type="dxa"/>
            </w:tcMar>
          </w:tcPr>
          <w:p>
            <w:pPr>
              <w:spacing w:after="0"/>
            </w:pPr>
            <w:r>
              <w:rPr>
                <w:rFonts w:ascii="Aptos" w:hAnsi="Aptos" w:eastAsia="Aptos"/>
                <w:b/>
                <w:color w:val="FFFFFF"/>
                <w:sz w:val="16"/>
              </w:rPr>
              <w:t>System</w:t>
            </w:r>
          </w:p>
        </w:tc>
        <w:tc>
          <w:tcPr>
            <w:tcW w:type="dxa" w:w="2952"/>
            <w:shd w:fill="173A5E"/>
            <w:tcMar>
              <w:top w:w="70" w:type="dxa"/>
              <w:start w:w="70" w:type="dxa"/>
              <w:bottom w:w="70" w:type="dxa"/>
              <w:end w:w="70" w:type="dxa"/>
            </w:tcMar>
          </w:tcPr>
          <w:p>
            <w:pPr>
              <w:spacing w:after="0"/>
            </w:pPr>
            <w:r>
              <w:rPr>
                <w:rFonts w:ascii="Aptos" w:hAnsi="Aptos" w:eastAsia="Aptos"/>
                <w:b/>
                <w:color w:val="FFFFFF"/>
                <w:sz w:val="16"/>
              </w:rPr>
              <w:t>Current Impact / Risk Position</w:t>
            </w:r>
          </w:p>
        </w:tc>
        <w:tc>
          <w:tcPr>
            <w:tcW w:type="dxa" w:w="5544"/>
            <w:shd w:fill="173A5E"/>
            <w:tcMar>
              <w:top w:w="70" w:type="dxa"/>
              <w:start w:w="70" w:type="dxa"/>
              <w:bottom w:w="70" w:type="dxa"/>
              <w:end w:w="70" w:type="dxa"/>
            </w:tcMar>
          </w:tcPr>
          <w:p>
            <w:pPr>
              <w:spacing w:after="0"/>
            </w:pPr>
            <w:r>
              <w:rPr>
                <w:rFonts w:ascii="Aptos" w:hAnsi="Aptos" w:eastAsia="Aptos"/>
                <w:b/>
                <w:color w:val="FFFFFF"/>
                <w:sz w:val="16"/>
              </w:rPr>
              <w:t>Key Business Concern</w:t>
            </w:r>
          </w:p>
        </w:tc>
      </w:tr>
      <w:tr>
        <w:trPr>
          <w:cantSplit/>
        </w:trPr>
        <w:tc>
          <w:tcPr>
            <w:tcW w:type="dxa" w:w="1872"/>
            <w:tcMar>
              <w:top w:w="65" w:type="dxa"/>
              <w:start w:w="70" w:type="dxa"/>
              <w:bottom w:w="65" w:type="dxa"/>
              <w:end w:w="70" w:type="dxa"/>
            </w:tcMar>
            <w:vAlign w:val="top"/>
          </w:tcPr>
          <w:p>
            <w:pPr>
              <w:spacing w:after="0" w:line="240" w:lineRule="auto"/>
            </w:pPr>
            <w:r>
              <w:rPr>
                <w:rFonts w:ascii="Aptos" w:hAnsi="Aptos" w:eastAsia="Aptos"/>
                <w:b w:val="0"/>
                <w:color w:val="1F2933"/>
                <w:sz w:val="16"/>
              </w:rPr>
              <w:t>DuckTalent AI</w:t>
            </w:r>
          </w:p>
        </w:tc>
        <w:tc>
          <w:tcPr>
            <w:tcW w:type="dxa" w:w="2952"/>
            <w:tcMar>
              <w:top w:w="65" w:type="dxa"/>
              <w:start w:w="70" w:type="dxa"/>
              <w:bottom w:w="65" w:type="dxa"/>
              <w:end w:w="70" w:type="dxa"/>
            </w:tcMar>
            <w:vAlign w:val="top"/>
          </w:tcPr>
          <w:p>
            <w:pPr>
              <w:spacing w:after="0" w:line="240" w:lineRule="auto"/>
            </w:pPr>
            <w:r>
              <w:rPr>
                <w:rFonts w:ascii="Aptos" w:hAnsi="Aptos" w:eastAsia="Aptos"/>
                <w:b w:val="0"/>
                <w:color w:val="1F2933"/>
                <w:sz w:val="16"/>
              </w:rPr>
              <w:t>Critical; do not deploy in current state</w:t>
            </w:r>
          </w:p>
        </w:tc>
        <w:tc>
          <w:tcPr>
            <w:tcW w:type="dxa" w:w="5544"/>
            <w:tcMar>
              <w:top w:w="65" w:type="dxa"/>
              <w:start w:w="70" w:type="dxa"/>
              <w:bottom w:w="65" w:type="dxa"/>
              <w:end w:w="70" w:type="dxa"/>
            </w:tcMar>
            <w:vAlign w:val="top"/>
          </w:tcPr>
          <w:p>
            <w:pPr>
              <w:spacing w:after="0" w:line="240" w:lineRule="auto"/>
            </w:pPr>
            <w:r>
              <w:rPr>
                <w:rFonts w:ascii="Aptos" w:hAnsi="Aptos" w:eastAsia="Aptos"/>
                <w:b w:val="0"/>
                <w:color w:val="1F2933"/>
                <w:sz w:val="16"/>
              </w:rPr>
              <w:t>Employment fairness, discrimination, explainability, privacy, contestability, automation bias and legal classification.</w:t>
            </w:r>
          </w:p>
        </w:tc>
      </w:tr>
      <w:tr>
        <w:trPr>
          <w:cantSplit/>
        </w:trPr>
        <w:tc>
          <w:tcPr>
            <w:tcW w:type="dxa" w:w="187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Unregistered GenAI</w:t>
            </w:r>
          </w:p>
        </w:tc>
        <w:tc>
          <w:tcPr>
            <w:tcW w:type="dxa" w:w="29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Critical; immediate containment</w:t>
            </w:r>
          </w:p>
        </w:tc>
        <w:tc>
          <w:tcPr>
            <w:tcW w:type="dxa" w:w="554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Unknown tools/use cases, confidential or personal data exposure, uncontrolled third-party terms, lack of logging and approval.</w:t>
            </w:r>
          </w:p>
        </w:tc>
      </w:tr>
      <w:tr>
        <w:trPr>
          <w:cantSplit/>
        </w:trPr>
        <w:tc>
          <w:tcPr>
            <w:tcW w:type="dxa" w:w="1872"/>
            <w:tcMar>
              <w:top w:w="65" w:type="dxa"/>
              <w:start w:w="70" w:type="dxa"/>
              <w:bottom w:w="65" w:type="dxa"/>
              <w:end w:w="70" w:type="dxa"/>
            </w:tcMar>
            <w:vAlign w:val="top"/>
          </w:tcPr>
          <w:p>
            <w:pPr>
              <w:spacing w:after="0" w:line="240" w:lineRule="auto"/>
            </w:pPr>
            <w:r>
              <w:rPr>
                <w:rFonts w:ascii="Aptos" w:hAnsi="Aptos" w:eastAsia="Aptos"/>
                <w:b w:val="0"/>
                <w:color w:val="1F2933"/>
                <w:sz w:val="16"/>
              </w:rPr>
              <w:t>QuackBot</w:t>
            </w:r>
          </w:p>
        </w:tc>
        <w:tc>
          <w:tcPr>
            <w:tcW w:type="dxa" w:w="2952"/>
            <w:tcMar>
              <w:top w:w="65" w:type="dxa"/>
              <w:start w:w="70" w:type="dxa"/>
              <w:bottom w:w="65" w:type="dxa"/>
              <w:end w:w="70" w:type="dxa"/>
            </w:tcMar>
            <w:vAlign w:val="top"/>
          </w:tcPr>
          <w:p>
            <w:pPr>
              <w:spacing w:after="0" w:line="240" w:lineRule="auto"/>
            </w:pPr>
            <w:r>
              <w:rPr>
                <w:rFonts w:ascii="Aptos" w:hAnsi="Aptos" w:eastAsia="Aptos"/>
                <w:b w:val="0"/>
                <w:color w:val="1F2933"/>
                <w:sz w:val="16"/>
              </w:rPr>
              <w:t>High; production blocked pending gates</w:t>
            </w:r>
          </w:p>
        </w:tc>
        <w:tc>
          <w:tcPr>
            <w:tcW w:type="dxa" w:w="5544"/>
            <w:tcMar>
              <w:top w:w="65" w:type="dxa"/>
              <w:start w:w="70" w:type="dxa"/>
              <w:bottom w:w="65" w:type="dxa"/>
              <w:end w:w="70" w:type="dxa"/>
            </w:tcMar>
            <w:vAlign w:val="top"/>
          </w:tcPr>
          <w:p>
            <w:pPr>
              <w:spacing w:after="0" w:line="240" w:lineRule="auto"/>
            </w:pPr>
            <w:r>
              <w:rPr>
                <w:rFonts w:ascii="Aptos" w:hAnsi="Aptos" w:eastAsia="Aptos"/>
                <w:b w:val="0"/>
                <w:color w:val="1F2933"/>
                <w:sz w:val="16"/>
              </w:rPr>
              <w:t>Customer harm, inaccurate support, prompt/RAG attacks, leakage, escalation and monitoring.</w:t>
            </w:r>
          </w:p>
        </w:tc>
      </w:tr>
      <w:tr>
        <w:trPr>
          <w:cantSplit/>
        </w:trPr>
        <w:tc>
          <w:tcPr>
            <w:tcW w:type="dxa" w:w="187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DuckDesign AI</w:t>
            </w:r>
          </w:p>
        </w:tc>
        <w:tc>
          <w:tcPr>
            <w:tcW w:type="dxa" w:w="29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High; restricted pilot</w:t>
            </w:r>
          </w:p>
        </w:tc>
        <w:tc>
          <w:tcPr>
            <w:tcW w:type="dxa" w:w="554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Unsafe or incorrect engineering recommendations, IP/data leakage, traceability and design validation.</w:t>
            </w:r>
          </w:p>
        </w:tc>
      </w:tr>
      <w:tr>
        <w:trPr>
          <w:cantSplit/>
        </w:trPr>
        <w:tc>
          <w:tcPr>
            <w:tcW w:type="dxa" w:w="1872"/>
            <w:tcMar>
              <w:top w:w="65" w:type="dxa"/>
              <w:start w:w="70" w:type="dxa"/>
              <w:bottom w:w="65" w:type="dxa"/>
              <w:end w:w="70" w:type="dxa"/>
            </w:tcMar>
            <w:vAlign w:val="top"/>
          </w:tcPr>
          <w:p>
            <w:pPr>
              <w:spacing w:after="0" w:line="240" w:lineRule="auto"/>
            </w:pPr>
            <w:r>
              <w:rPr>
                <w:rFonts w:ascii="Aptos" w:hAnsi="Aptos" w:eastAsia="Aptos"/>
                <w:b w:val="0"/>
                <w:color w:val="1F2933"/>
                <w:sz w:val="16"/>
              </w:rPr>
              <w:t>WingInspect Vision</w:t>
            </w:r>
          </w:p>
        </w:tc>
        <w:tc>
          <w:tcPr>
            <w:tcW w:type="dxa" w:w="2952"/>
            <w:tcMar>
              <w:top w:w="65" w:type="dxa"/>
              <w:start w:w="70" w:type="dxa"/>
              <w:bottom w:w="65" w:type="dxa"/>
              <w:end w:w="70" w:type="dxa"/>
            </w:tcMar>
            <w:vAlign w:val="top"/>
          </w:tcPr>
          <w:p>
            <w:pPr>
              <w:spacing w:after="0" w:line="240" w:lineRule="auto"/>
            </w:pPr>
            <w:r>
              <w:rPr>
                <w:rFonts w:ascii="Aptos" w:hAnsi="Aptos" w:eastAsia="Aptos"/>
                <w:b w:val="0"/>
                <w:color w:val="1F2933"/>
                <w:sz w:val="16"/>
              </w:rPr>
              <w:t>High; restricted pilot</w:t>
            </w:r>
          </w:p>
        </w:tc>
        <w:tc>
          <w:tcPr>
            <w:tcW w:type="dxa" w:w="5544"/>
            <w:tcMar>
              <w:top w:w="65" w:type="dxa"/>
              <w:start w:w="70" w:type="dxa"/>
              <w:bottom w:w="65" w:type="dxa"/>
              <w:end w:w="70" w:type="dxa"/>
            </w:tcMar>
            <w:vAlign w:val="top"/>
          </w:tcPr>
          <w:p>
            <w:pPr>
              <w:spacing w:after="0" w:line="240" w:lineRule="auto"/>
            </w:pPr>
            <w:r>
              <w:rPr>
                <w:rFonts w:ascii="Aptos" w:hAnsi="Aptos" w:eastAsia="Aptos"/>
                <w:b w:val="0"/>
                <w:color w:val="1F2933"/>
                <w:sz w:val="16"/>
              </w:rPr>
              <w:t>False negatives, unsafe quality reliance, human final authority and performance validation.</w:t>
            </w:r>
          </w:p>
        </w:tc>
      </w:tr>
      <w:tr>
        <w:trPr>
          <w:cantSplit/>
        </w:trPr>
        <w:tc>
          <w:tcPr>
            <w:tcW w:type="dxa" w:w="187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PondGPT</w:t>
            </w:r>
          </w:p>
        </w:tc>
        <w:tc>
          <w:tcPr>
            <w:tcW w:type="dxa" w:w="29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High; restricted pilot</w:t>
            </w:r>
          </w:p>
        </w:tc>
        <w:tc>
          <w:tcPr>
            <w:tcW w:type="dxa" w:w="554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Cross-user data leakage, retrieval authorization, prompt/RAG security, sensitive repositories and acceptable use.</w:t>
            </w:r>
          </w:p>
        </w:tc>
      </w:tr>
      <w:tr>
        <w:trPr>
          <w:cantSplit/>
        </w:trPr>
        <w:tc>
          <w:tcPr>
            <w:tcW w:type="dxa" w:w="1872"/>
            <w:tcMar>
              <w:top w:w="65" w:type="dxa"/>
              <w:start w:w="70" w:type="dxa"/>
              <w:bottom w:w="65" w:type="dxa"/>
              <w:end w:w="70" w:type="dxa"/>
            </w:tcMar>
            <w:vAlign w:val="top"/>
          </w:tcPr>
          <w:p>
            <w:pPr>
              <w:spacing w:after="0" w:line="240" w:lineRule="auto"/>
            </w:pPr>
            <w:r>
              <w:rPr>
                <w:rFonts w:ascii="Aptos" w:hAnsi="Aptos" w:eastAsia="Aptos"/>
                <w:b w:val="0"/>
                <w:color w:val="1F2933"/>
                <w:sz w:val="16"/>
              </w:rPr>
              <w:t>FeatherForecast</w:t>
            </w:r>
          </w:p>
        </w:tc>
        <w:tc>
          <w:tcPr>
            <w:tcW w:type="dxa" w:w="2952"/>
            <w:tcMar>
              <w:top w:w="65" w:type="dxa"/>
              <w:start w:w="70" w:type="dxa"/>
              <w:bottom w:w="65" w:type="dxa"/>
              <w:end w:w="70" w:type="dxa"/>
            </w:tcMar>
            <w:vAlign w:val="top"/>
          </w:tcPr>
          <w:p>
            <w:pPr>
              <w:spacing w:after="0" w:line="240" w:lineRule="auto"/>
            </w:pPr>
            <w:r>
              <w:rPr>
                <w:rFonts w:ascii="Aptos" w:hAnsi="Aptos" w:eastAsia="Aptos"/>
                <w:b w:val="0"/>
                <w:color w:val="1F2933"/>
                <w:sz w:val="16"/>
              </w:rPr>
              <w:t>Moderate; continue with monitoring</w:t>
            </w:r>
          </w:p>
        </w:tc>
        <w:tc>
          <w:tcPr>
            <w:tcW w:type="dxa" w:w="5544"/>
            <w:tcMar>
              <w:top w:w="65" w:type="dxa"/>
              <w:start w:w="70" w:type="dxa"/>
              <w:bottom w:w="65" w:type="dxa"/>
              <w:end w:w="70" w:type="dxa"/>
            </w:tcMar>
            <w:vAlign w:val="top"/>
          </w:tcPr>
          <w:p>
            <w:pPr>
              <w:spacing w:after="0" w:line="240" w:lineRule="auto"/>
            </w:pPr>
            <w:r>
              <w:rPr>
                <w:rFonts w:ascii="Aptos" w:hAnsi="Aptos" w:eastAsia="Aptos"/>
                <w:b w:val="0"/>
                <w:color w:val="1F2933"/>
                <w:sz w:val="16"/>
              </w:rPr>
              <w:t>Forecast error, data quality, drift and inappropriate operational reliance.</w:t>
            </w:r>
          </w:p>
        </w:tc>
      </w:tr>
    </w:tbl>
    <w:p>
      <w:pPr>
        <w:spacing w:after="20" w:before="0" w:line="120" w:lineRule="auto"/>
      </w:pPr>
    </w:p>
    <w:tbl>
      <w:tblPr>
        <w:tblW w:type="auto" w:w="0"/>
        <w:jc w:val="center"/>
        <w:tblLook w:firstColumn="1" w:firstRow="1" w:lastColumn="0" w:lastRow="0" w:noHBand="0" w:noVBand="1" w:val="04A0"/>
        <w:tblBorders>
          <w:top w:val="single" w:sz="8" w:space="0" w:color="A33A3A"/>
          <w:left w:val="single" w:sz="8" w:space="0" w:color="A33A3A"/>
          <w:bottom w:val="single" w:sz="8" w:space="0" w:color="A33A3A"/>
          <w:right w:val="single" w:sz="8" w:space="0" w:color="A33A3A"/>
          <w:insideH w:val="single" w:sz="8" w:space="0" w:color="A33A3A"/>
          <w:insideV w:val="single" w:sz="8" w:space="0" w:color="A33A3A"/>
        </w:tblBorders>
      </w:tblPr>
      <w:tblGrid>
        <w:gridCol w:w="10454"/>
      </w:tblGrid>
      <w:tr>
        <w:trPr>
          <w:cantSplit/>
        </w:trPr>
        <w:tc>
          <w:tcPr>
            <w:tcW w:type="dxa" w:w="10454"/>
            <w:shd w:fill="FDECEC"/>
            <w:tcMar>
              <w:top w:w="100" w:type="dxa"/>
              <w:start w:w="120" w:type="dxa"/>
              <w:bottom w:w="100" w:type="dxa"/>
              <w:end w:w="120" w:type="dxa"/>
            </w:tcMar>
          </w:tcPr>
          <w:p>
            <w:pPr>
              <w:spacing w:after="60"/>
            </w:pPr>
            <w:r>
              <w:rPr>
                <w:rFonts w:ascii="Aptos" w:hAnsi="Aptos" w:eastAsia="Aptos"/>
                <w:b/>
                <w:color w:val="A33A3A"/>
                <w:sz w:val="21"/>
              </w:rPr>
              <w:t>Why action is justified now</w:t>
            </w:r>
          </w:p>
          <w:p>
            <w:pPr>
              <w:spacing w:after="0" w:line="252" w:lineRule="auto"/>
            </w:pPr>
            <w:r>
              <w:rPr>
                <w:rFonts w:ascii="Aptos" w:hAnsi="Aptos" w:eastAsia="Aptos"/>
                <w:b w:val="0"/>
                <w:color w:val="1F2933"/>
                <w:sz w:val="20"/>
              </w:rPr>
              <w:t>The business case does not depend on a future certification project. Duckworks already has active pilots, deployed decision support, planned customer-facing and recruitment systems, and uncontrolled employee AI use. Governance delay therefore increases current operational exposure while also making later remediation more expensive and disruptive.</w:t>
            </w:r>
          </w:p>
        </w:tc>
      </w:tr>
    </w:tbl>
    <w:p>
      <w:pPr>
        <w:keepNext/>
        <w:spacing w:before="200" w:after="100"/>
      </w:pPr>
      <w:r>
        <w:rPr>
          <w:rFonts w:ascii="Aptos" w:hAnsi="Aptos" w:eastAsia="Aptos"/>
          <w:b/>
          <w:color w:val="173A5E"/>
          <w:sz w:val="30"/>
        </w:rPr>
        <w:t>6. Options Considered</w:t>
      </w:r>
    </w:p>
    <w:p>
      <w:pPr>
        <w:spacing w:after="100" w:line="259" w:lineRule="auto"/>
      </w:pPr>
      <w:r>
        <w:rPr>
          <w:rFonts w:ascii="Aptos" w:hAnsi="Aptos" w:eastAsia="Aptos"/>
          <w:b w:val="0"/>
          <w:color w:val="1F2933"/>
          <w:sz w:val="20"/>
        </w:rPr>
        <w:t>The following options are a Duckworks business-case evaluation. They are organizational choices, not requirements imposed by NIST, ISO, or legislation.</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091"/>
        <w:gridCol w:w="2091"/>
        <w:gridCol w:w="2091"/>
        <w:gridCol w:w="2091"/>
        <w:gridCol w:w="2091"/>
      </w:tblGrid>
      <w:tr>
        <w:trPr>
          <w:tblHeader w:val="true"/>
          <w:cantSplit/>
        </w:trPr>
        <w:tc>
          <w:tcPr>
            <w:tcW w:type="dxa" w:w="1800"/>
            <w:shd w:fill="173A5E"/>
            <w:tcMar>
              <w:top w:w="70" w:type="dxa"/>
              <w:start w:w="70" w:type="dxa"/>
              <w:bottom w:w="70" w:type="dxa"/>
              <w:end w:w="70" w:type="dxa"/>
            </w:tcMar>
          </w:tcPr>
          <w:p>
            <w:pPr>
              <w:spacing w:after="0"/>
            </w:pPr>
            <w:r>
              <w:rPr>
                <w:rFonts w:ascii="Aptos" w:hAnsi="Aptos" w:eastAsia="Aptos"/>
                <w:b/>
                <w:color w:val="FFFFFF"/>
                <w:sz w:val="15"/>
              </w:rPr>
              <w:t>Option</w:t>
            </w:r>
          </w:p>
        </w:tc>
        <w:tc>
          <w:tcPr>
            <w:tcW w:type="dxa" w:w="2448"/>
            <w:shd w:fill="173A5E"/>
            <w:tcMar>
              <w:top w:w="70" w:type="dxa"/>
              <w:start w:w="70" w:type="dxa"/>
              <w:bottom w:w="70" w:type="dxa"/>
              <w:end w:w="70" w:type="dxa"/>
            </w:tcMar>
          </w:tcPr>
          <w:p>
            <w:pPr>
              <w:spacing w:after="0"/>
            </w:pPr>
            <w:r>
              <w:rPr>
                <w:rFonts w:ascii="Aptos" w:hAnsi="Aptos" w:eastAsia="Aptos"/>
                <w:b/>
                <w:color w:val="FFFFFF"/>
                <w:sz w:val="15"/>
              </w:rPr>
              <w:t>Description</w:t>
            </w:r>
          </w:p>
        </w:tc>
        <w:tc>
          <w:tcPr>
            <w:tcW w:type="dxa" w:w="2448"/>
            <w:shd w:fill="173A5E"/>
            <w:tcMar>
              <w:top w:w="70" w:type="dxa"/>
              <w:start w:w="70" w:type="dxa"/>
              <w:bottom w:w="70" w:type="dxa"/>
              <w:end w:w="70" w:type="dxa"/>
            </w:tcMar>
          </w:tcPr>
          <w:p>
            <w:pPr>
              <w:spacing w:after="0"/>
            </w:pPr>
            <w:r>
              <w:rPr>
                <w:rFonts w:ascii="Aptos" w:hAnsi="Aptos" w:eastAsia="Aptos"/>
                <w:b/>
                <w:color w:val="FFFFFF"/>
                <w:sz w:val="15"/>
              </w:rPr>
              <w:t>Advantages</w:t>
            </w:r>
          </w:p>
        </w:tc>
        <w:tc>
          <w:tcPr>
            <w:tcW w:type="dxa" w:w="3168"/>
            <w:shd w:fill="173A5E"/>
            <w:tcMar>
              <w:top w:w="70" w:type="dxa"/>
              <w:start w:w="70" w:type="dxa"/>
              <w:bottom w:w="70" w:type="dxa"/>
              <w:end w:w="70" w:type="dxa"/>
            </w:tcMar>
          </w:tcPr>
          <w:p>
            <w:pPr>
              <w:spacing w:after="0"/>
            </w:pPr>
            <w:r>
              <w:rPr>
                <w:rFonts w:ascii="Aptos" w:hAnsi="Aptos" w:eastAsia="Aptos"/>
                <w:b/>
                <w:color w:val="FFFFFF"/>
                <w:sz w:val="15"/>
              </w:rPr>
              <w:t>Limitations / Risk</w:t>
            </w:r>
          </w:p>
        </w:tc>
        <w:tc>
          <w:tcPr>
            <w:tcW w:type="dxa" w:w="1152"/>
            <w:shd w:fill="173A5E"/>
            <w:tcMar>
              <w:top w:w="70" w:type="dxa"/>
              <w:start w:w="70" w:type="dxa"/>
              <w:bottom w:w="70" w:type="dxa"/>
              <w:end w:w="70" w:type="dxa"/>
            </w:tcMar>
          </w:tcPr>
          <w:p>
            <w:pPr>
              <w:spacing w:after="0"/>
            </w:pPr>
            <w:r>
              <w:rPr>
                <w:rFonts w:ascii="Aptos" w:hAnsi="Aptos" w:eastAsia="Aptos"/>
                <w:b/>
                <w:color w:val="FFFFFF"/>
                <w:sz w:val="15"/>
              </w:rPr>
              <w:t>Assessment</w:t>
            </w:r>
          </w:p>
        </w:tc>
      </w:tr>
      <w:tr>
        <w:trPr>
          <w:cantSplit/>
        </w:trPr>
        <w:tc>
          <w:tcPr>
            <w:tcW w:type="dxa" w:w="1800"/>
            <w:tcMar>
              <w:top w:w="65" w:type="dxa"/>
              <w:start w:w="70" w:type="dxa"/>
              <w:bottom w:w="65" w:type="dxa"/>
              <w:end w:w="70" w:type="dxa"/>
            </w:tcMar>
            <w:vAlign w:val="top"/>
          </w:tcPr>
          <w:p>
            <w:pPr>
              <w:spacing w:after="0" w:line="240" w:lineRule="auto"/>
            </w:pPr>
            <w:r>
              <w:rPr>
                <w:rFonts w:ascii="Aptos" w:hAnsi="Aptos" w:eastAsia="Aptos"/>
                <w:b w:val="0"/>
                <w:color w:val="1F2933"/>
                <w:sz w:val="15"/>
              </w:rPr>
              <w:t>0 — Do nothing / defer</w:t>
            </w:r>
          </w:p>
        </w:tc>
        <w:tc>
          <w:tcPr>
            <w:tcW w:type="dxa" w:w="2448"/>
            <w:tcMar>
              <w:top w:w="65" w:type="dxa"/>
              <w:start w:w="70" w:type="dxa"/>
              <w:bottom w:w="65" w:type="dxa"/>
              <w:end w:w="70" w:type="dxa"/>
            </w:tcMar>
            <w:vAlign w:val="top"/>
          </w:tcPr>
          <w:p>
            <w:pPr>
              <w:spacing w:after="0" w:line="240" w:lineRule="auto"/>
            </w:pPr>
            <w:r>
              <w:rPr>
                <w:rFonts w:ascii="Aptos" w:hAnsi="Aptos" w:eastAsia="Aptos"/>
                <w:b w:val="0"/>
                <w:color w:val="1F2933"/>
                <w:sz w:val="15"/>
              </w:rPr>
              <w:t>Continue existing local experimentation and rely on general security/risk processes.</w:t>
            </w:r>
          </w:p>
        </w:tc>
        <w:tc>
          <w:tcPr>
            <w:tcW w:type="dxa" w:w="2448"/>
            <w:tcMar>
              <w:top w:w="65" w:type="dxa"/>
              <w:start w:w="70" w:type="dxa"/>
              <w:bottom w:w="65" w:type="dxa"/>
              <w:end w:w="70" w:type="dxa"/>
            </w:tcMar>
            <w:vAlign w:val="top"/>
          </w:tcPr>
          <w:p>
            <w:pPr>
              <w:spacing w:after="0" w:line="240" w:lineRule="auto"/>
            </w:pPr>
            <w:r>
              <w:rPr>
                <w:rFonts w:ascii="Aptos" w:hAnsi="Aptos" w:eastAsia="Aptos"/>
                <w:b w:val="0"/>
                <w:color w:val="1F2933"/>
                <w:sz w:val="15"/>
              </w:rPr>
              <w:t>Lowest immediate implementation effort.</w:t>
            </w:r>
          </w:p>
        </w:tc>
        <w:tc>
          <w:tcPr>
            <w:tcW w:type="dxa" w:w="3168"/>
            <w:tcMar>
              <w:top w:w="65" w:type="dxa"/>
              <w:start w:w="70" w:type="dxa"/>
              <w:bottom w:w="65" w:type="dxa"/>
              <w:end w:w="70" w:type="dxa"/>
            </w:tcMar>
            <w:vAlign w:val="top"/>
          </w:tcPr>
          <w:p>
            <w:pPr>
              <w:spacing w:after="0" w:line="240" w:lineRule="auto"/>
            </w:pPr>
            <w:r>
              <w:rPr>
                <w:rFonts w:ascii="Aptos" w:hAnsi="Aptos" w:eastAsia="Aptos"/>
                <w:b w:val="0"/>
                <w:color w:val="1F2933"/>
                <w:sz w:val="15"/>
              </w:rPr>
              <w:t>Fragmentation persists; shadow AI remains unmanaged; no common evidence trail; higher remediation and assurance risk.</w:t>
            </w:r>
          </w:p>
        </w:tc>
        <w:tc>
          <w:tcPr>
            <w:tcW w:type="dxa" w:w="1152"/>
            <w:tcMar>
              <w:top w:w="65" w:type="dxa"/>
              <w:start w:w="70" w:type="dxa"/>
              <w:bottom w:w="65" w:type="dxa"/>
              <w:end w:w="70" w:type="dxa"/>
            </w:tcMar>
            <w:vAlign w:val="top"/>
          </w:tcPr>
          <w:p>
            <w:pPr>
              <w:spacing w:after="0" w:line="240" w:lineRule="auto"/>
            </w:pPr>
            <w:r>
              <w:rPr>
                <w:rFonts w:ascii="Aptos" w:hAnsi="Aptos" w:eastAsia="Aptos"/>
                <w:b w:val="0"/>
                <w:color w:val="1F2933"/>
                <w:sz w:val="15"/>
              </w:rPr>
              <w:t>Not recommended</w:t>
            </w:r>
          </w:p>
        </w:tc>
      </w:tr>
      <w:tr>
        <w:trPr>
          <w:cantSplit/>
        </w:trPr>
        <w:tc>
          <w:tcPr>
            <w:tcW w:type="dxa" w:w="180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1 — Department-led governance</w:t>
            </w:r>
          </w:p>
        </w:tc>
        <w:tc>
          <w:tcPr>
            <w:tcW w:type="dxa" w:w="244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Each business function defines its own AI review and controls.</w:t>
            </w:r>
          </w:p>
        </w:tc>
        <w:tc>
          <w:tcPr>
            <w:tcW w:type="dxa" w:w="244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Fast locally; close to use-case teams.</w:t>
            </w:r>
          </w:p>
        </w:tc>
        <w:tc>
          <w:tcPr>
            <w:tcW w:type="dxa" w:w="316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Inconsistent thresholds, duplicated effort, weak enterprise visibility, uneven legal/security/privacy challenge.</w:t>
            </w:r>
          </w:p>
        </w:tc>
        <w:tc>
          <w:tcPr>
            <w:tcW w:type="dxa" w:w="11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Insufficient</w:t>
            </w:r>
          </w:p>
        </w:tc>
      </w:tr>
      <w:tr>
        <w:trPr>
          <w:cantSplit/>
        </w:trPr>
        <w:tc>
          <w:tcPr>
            <w:tcW w:type="dxa" w:w="1800"/>
            <w:tcMar>
              <w:top w:w="65" w:type="dxa"/>
              <w:start w:w="70" w:type="dxa"/>
              <w:bottom w:w="65" w:type="dxa"/>
              <w:end w:w="70" w:type="dxa"/>
            </w:tcMar>
            <w:vAlign w:val="top"/>
          </w:tcPr>
          <w:p>
            <w:pPr>
              <w:spacing w:after="0" w:line="240" w:lineRule="auto"/>
            </w:pPr>
            <w:r>
              <w:rPr>
                <w:rFonts w:ascii="Aptos" w:hAnsi="Aptos" w:eastAsia="Aptos"/>
                <w:b w:val="0"/>
                <w:color w:val="1F2933"/>
                <w:sz w:val="15"/>
              </w:rPr>
              <w:t>2 — Enterprise risk-based governance</w:t>
            </w:r>
          </w:p>
        </w:tc>
        <w:tc>
          <w:tcPr>
            <w:tcW w:type="dxa" w:w="2448"/>
            <w:tcMar>
              <w:top w:w="65" w:type="dxa"/>
              <w:start w:w="70" w:type="dxa"/>
              <w:bottom w:w="65" w:type="dxa"/>
              <w:end w:w="70" w:type="dxa"/>
            </w:tcMar>
            <w:vAlign w:val="top"/>
          </w:tcPr>
          <w:p>
            <w:pPr>
              <w:spacing w:after="0" w:line="240" w:lineRule="auto"/>
            </w:pPr>
            <w:r>
              <w:rPr>
                <w:rFonts w:ascii="Aptos" w:hAnsi="Aptos" w:eastAsia="Aptos"/>
                <w:b w:val="0"/>
                <w:color w:val="1F2933"/>
                <w:sz w:val="15"/>
              </w:rPr>
              <w:t>Central standards, inventory, risk method and reporting; tiered system-specific gates integrated into existing processes.</w:t>
            </w:r>
          </w:p>
        </w:tc>
        <w:tc>
          <w:tcPr>
            <w:tcW w:type="dxa" w:w="2448"/>
            <w:tcMar>
              <w:top w:w="65" w:type="dxa"/>
              <w:start w:w="70" w:type="dxa"/>
              <w:bottom w:w="65" w:type="dxa"/>
              <w:end w:w="70" w:type="dxa"/>
            </w:tcMar>
            <w:vAlign w:val="top"/>
          </w:tcPr>
          <w:p>
            <w:pPr>
              <w:spacing w:after="0" w:line="240" w:lineRule="auto"/>
            </w:pPr>
            <w:r>
              <w:rPr>
                <w:rFonts w:ascii="Aptos" w:hAnsi="Aptos" w:eastAsia="Aptos"/>
                <w:b w:val="0"/>
                <w:color w:val="1F2933"/>
                <w:sz w:val="15"/>
              </w:rPr>
              <w:t>Proportionate, auditable, scalable; preserves experimentation; enables specialist challenge and common evidence.</w:t>
            </w:r>
          </w:p>
        </w:tc>
        <w:tc>
          <w:tcPr>
            <w:tcW w:type="dxa" w:w="3168"/>
            <w:tcMar>
              <w:top w:w="65" w:type="dxa"/>
              <w:start w:w="70" w:type="dxa"/>
              <w:bottom w:w="65" w:type="dxa"/>
              <w:end w:w="70" w:type="dxa"/>
            </w:tcMar>
            <w:vAlign w:val="top"/>
          </w:tcPr>
          <w:p>
            <w:pPr>
              <w:spacing w:after="0" w:line="240" w:lineRule="auto"/>
            </w:pPr>
            <w:r>
              <w:rPr>
                <w:rFonts w:ascii="Aptos" w:hAnsi="Aptos" w:eastAsia="Aptos"/>
                <w:b w:val="0"/>
                <w:color w:val="1F2933"/>
                <w:sz w:val="15"/>
              </w:rPr>
              <w:t>Requires cross-functional capacity, process integration and disciplined evidence management.</w:t>
            </w:r>
          </w:p>
        </w:tc>
        <w:tc>
          <w:tcPr>
            <w:tcW w:type="dxa" w:w="1152"/>
            <w:tcMar>
              <w:top w:w="65" w:type="dxa"/>
              <w:start w:w="70" w:type="dxa"/>
              <w:bottom w:w="65" w:type="dxa"/>
              <w:end w:w="70" w:type="dxa"/>
            </w:tcMar>
            <w:vAlign w:val="top"/>
          </w:tcPr>
          <w:p>
            <w:pPr>
              <w:spacing w:after="0" w:line="240" w:lineRule="auto"/>
            </w:pPr>
            <w:r>
              <w:rPr>
                <w:rFonts w:ascii="Aptos" w:hAnsi="Aptos" w:eastAsia="Aptos"/>
                <w:b w:val="0"/>
                <w:color w:val="1F2933"/>
                <w:sz w:val="15"/>
              </w:rPr>
              <w:t>Recommended</w:t>
            </w:r>
          </w:p>
        </w:tc>
      </w:tr>
      <w:tr>
        <w:trPr>
          <w:cantSplit/>
        </w:trPr>
        <w:tc>
          <w:tcPr>
            <w:tcW w:type="dxa" w:w="180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3 — Highly restrictive centralized gatekeeping</w:t>
            </w:r>
          </w:p>
        </w:tc>
        <w:tc>
          <w:tcPr>
            <w:tcW w:type="dxa" w:w="244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Require full central approval for nearly all AI use, including low-impact experimentation.</w:t>
            </w:r>
          </w:p>
        </w:tc>
        <w:tc>
          <w:tcPr>
            <w:tcW w:type="dxa" w:w="244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Strong central control and visibility.</w:t>
            </w:r>
          </w:p>
        </w:tc>
        <w:tc>
          <w:tcPr>
            <w:tcW w:type="dxa" w:w="316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Likely to slow useful experimentation, increase bypass behavior, and apply disproportionate burden.</w:t>
            </w:r>
          </w:p>
        </w:tc>
        <w:tc>
          <w:tcPr>
            <w:tcW w:type="dxa" w:w="11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Not preferred</w:t>
            </w:r>
          </w:p>
        </w:tc>
      </w:tr>
    </w:tbl>
    <w:p>
      <w:pPr>
        <w:keepNext/>
        <w:spacing w:before="200" w:after="100"/>
      </w:pPr>
      <w:r>
        <w:rPr>
          <w:rFonts w:ascii="Aptos" w:hAnsi="Aptos" w:eastAsia="Aptos"/>
          <w:b/>
          <w:color w:val="173A5E"/>
          <w:sz w:val="30"/>
        </w:rPr>
        <w:t>7. Recommended Option — Risk-Based Enterprise AI Governance</w:t>
      </w:r>
    </w:p>
    <w:p>
      <w:pPr>
        <w:spacing w:after="100" w:line="259" w:lineRule="auto"/>
      </w:pPr>
      <w:r>
        <w:rPr>
          <w:rFonts w:ascii="Aptos" w:hAnsi="Aptos" w:eastAsia="Aptos"/>
          <w:b w:val="0"/>
          <w:color w:val="1F2933"/>
          <w:sz w:val="20"/>
        </w:rPr>
        <w:t>Duckworks should implement Option 2: a common enterprise governance backbone with risk-proportionate lifecycle gates. This directly supports management’s requirement that lower-impact systems should not automatically receive the same level of review as employment- or safety-sensitive systems.</w:t>
      </w:r>
    </w:p>
    <w:p>
      <w:pPr>
        <w:spacing w:after="100" w:line="259" w:lineRule="auto"/>
      </w:pPr>
      <w:r>
        <w:rPr>
          <w:rFonts w:ascii="Aptos" w:hAnsi="Aptos" w:eastAsia="Aptos"/>
          <w:b w:val="0"/>
          <w:color w:val="1F2933"/>
          <w:sz w:val="20"/>
        </w:rPr>
        <w:t>The recommended operating model should combine:</w:t>
      </w:r>
    </w:p>
    <w:p>
      <w:pPr>
        <w:pStyle w:val="ListBullet"/>
        <w:spacing w:after="40" w:line="252" w:lineRule="auto"/>
        <w:ind w:left="360" w:hanging="216"/>
      </w:pPr>
      <w:r>
        <w:rPr>
          <w:rFonts w:ascii="Aptos" w:hAnsi="Aptos" w:eastAsia="Aptos"/>
          <w:color w:val="1F2933"/>
          <w:sz w:val="20"/>
        </w:rPr>
        <w:t>Central AI inventory and intake for new, changed, purchased, embedded, experimental, and discovered AI.</w:t>
      </w:r>
    </w:p>
    <w:p>
      <w:pPr>
        <w:pStyle w:val="ListBullet"/>
        <w:spacing w:after="40" w:line="252" w:lineRule="auto"/>
        <w:ind w:left="360" w:hanging="216"/>
      </w:pPr>
      <w:r>
        <w:rPr>
          <w:rFonts w:ascii="Aptos" w:hAnsi="Aptos" w:eastAsia="Aptos"/>
          <w:color w:val="1F2933"/>
          <w:sz w:val="20"/>
        </w:rPr>
        <w:t>Risk and impact classification that determines the required review depth, evidence, approval authority, and monitoring cadence.</w:t>
      </w:r>
    </w:p>
    <w:p>
      <w:pPr>
        <w:pStyle w:val="ListBullet"/>
        <w:spacing w:after="40" w:line="252" w:lineRule="auto"/>
        <w:ind w:left="360" w:hanging="216"/>
      </w:pPr>
      <w:r>
        <w:rPr>
          <w:rFonts w:ascii="Aptos" w:hAnsi="Aptos" w:eastAsia="Aptos"/>
          <w:color w:val="1F2933"/>
          <w:sz w:val="20"/>
        </w:rPr>
        <w:t>Specialist gates for security, privacy, legal, HR, product safety, and third-party risk where relevant.</w:t>
      </w:r>
    </w:p>
    <w:p>
      <w:pPr>
        <w:pStyle w:val="ListBullet"/>
        <w:spacing w:after="40" w:line="252" w:lineRule="auto"/>
        <w:ind w:left="360" w:hanging="216"/>
      </w:pPr>
      <w:r>
        <w:rPr>
          <w:rFonts w:ascii="Aptos" w:hAnsi="Aptos" w:eastAsia="Aptos"/>
          <w:color w:val="1F2933"/>
          <w:sz w:val="20"/>
        </w:rPr>
        <w:t>Defined first-, second-, and third-line responsibilities, with Internal Audit remaining independent.</w:t>
      </w:r>
    </w:p>
    <w:p>
      <w:pPr>
        <w:pStyle w:val="ListBullet"/>
        <w:spacing w:after="40" w:line="252" w:lineRule="auto"/>
        <w:ind w:left="360" w:hanging="216"/>
      </w:pPr>
      <w:r>
        <w:rPr>
          <w:rFonts w:ascii="Aptos" w:hAnsi="Aptos" w:eastAsia="Aptos"/>
          <w:color w:val="1F2933"/>
          <w:sz w:val="20"/>
        </w:rPr>
        <w:t>Human-oversight requirements for consequential decisions, including competence, override authority, escalation, and stop authority.</w:t>
      </w:r>
    </w:p>
    <w:p>
      <w:pPr>
        <w:pStyle w:val="ListBullet"/>
        <w:spacing w:after="40" w:line="252" w:lineRule="auto"/>
        <w:ind w:left="360" w:hanging="216"/>
      </w:pPr>
      <w:r>
        <w:rPr>
          <w:rFonts w:ascii="Aptos" w:hAnsi="Aptos" w:eastAsia="Aptos"/>
          <w:color w:val="1F2933"/>
          <w:sz w:val="20"/>
        </w:rPr>
        <w:t>Control and evidence requirements that distinguish planned controls from implemented and evidenced controls.</w:t>
      </w:r>
    </w:p>
    <w:p>
      <w:pPr>
        <w:pStyle w:val="ListBullet"/>
        <w:spacing w:after="40" w:line="252" w:lineRule="auto"/>
        <w:ind w:left="360" w:hanging="216"/>
      </w:pPr>
      <w:r>
        <w:rPr>
          <w:rFonts w:ascii="Aptos" w:hAnsi="Aptos" w:eastAsia="Aptos"/>
          <w:color w:val="1F2933"/>
          <w:sz w:val="20"/>
        </w:rPr>
        <w:t>Post-deployment monitoring, significant-change triggers, incident escalation, reassessment, suspension, and retirement.</w:t>
      </w:r>
    </w:p>
    <w:p>
      <w:pPr>
        <w:pStyle w:val="ListBullet"/>
        <w:spacing w:after="40" w:line="252" w:lineRule="auto"/>
        <w:ind w:left="360" w:hanging="216"/>
      </w:pPr>
      <w:r>
        <w:rPr>
          <w:rFonts w:ascii="Aptos" w:hAnsi="Aptos" w:eastAsia="Aptos"/>
          <w:color w:val="1F2933"/>
          <w:sz w:val="20"/>
        </w:rPr>
        <w:t>Management dashboarding that connects business value, lifecycle, risk, treatment, evidence, and overdue actions.</w:t>
      </w:r>
    </w:p>
    <w:p>
      <w:pPr>
        <w:keepNext/>
        <w:spacing w:before="200" w:after="100"/>
      </w:pPr>
      <w:r>
        <w:rPr>
          <w:rFonts w:ascii="Aptos" w:hAnsi="Aptos" w:eastAsia="Aptos"/>
          <w:b/>
          <w:color w:val="173A5E"/>
          <w:sz w:val="30"/>
        </w:rPr>
        <w:t>8. Scope of the Investment</w:t>
      </w:r>
    </w:p>
    <w:p>
      <w:pPr>
        <w:spacing w:after="100" w:line="259" w:lineRule="auto"/>
      </w:pPr>
      <w:r>
        <w:rPr>
          <w:rFonts w:ascii="Aptos" w:hAnsi="Aptos" w:eastAsia="Aptos"/>
          <w:b w:val="0"/>
          <w:color w:val="1F2933"/>
          <w:sz w:val="20"/>
        </w:rPr>
        <w:t>The implementation investment should prioritize the planned deliverables already defined in the project dependency chain. The current business case does not require redesign of Duckworks’ entire enterprise risk, procurement, SDLC, security, or audit architecture; AI-specific requirements should extend existing processes where possible.</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85"/>
        <w:gridCol w:w="3485"/>
        <w:gridCol w:w="3485"/>
      </w:tblGrid>
      <w:tr>
        <w:trPr>
          <w:tblHeader w:val="true"/>
          <w:cantSplit/>
        </w:trPr>
        <w:tc>
          <w:tcPr>
            <w:tcW w:type="dxa" w:w="2232"/>
            <w:shd w:fill="173A5E"/>
            <w:tcMar>
              <w:top w:w="70" w:type="dxa"/>
              <w:start w:w="70" w:type="dxa"/>
              <w:bottom w:w="70" w:type="dxa"/>
              <w:end w:w="70" w:type="dxa"/>
            </w:tcMar>
          </w:tcPr>
          <w:p>
            <w:pPr>
              <w:spacing w:after="0"/>
            </w:pPr>
            <w:r>
              <w:rPr>
                <w:rFonts w:ascii="Aptos" w:hAnsi="Aptos" w:eastAsia="Aptos"/>
                <w:b/>
                <w:color w:val="FFFFFF"/>
                <w:sz w:val="17"/>
              </w:rPr>
              <w:t>Workstream</w:t>
            </w:r>
          </w:p>
        </w:tc>
        <w:tc>
          <w:tcPr>
            <w:tcW w:type="dxa" w:w="6048"/>
            <w:shd w:fill="173A5E"/>
            <w:tcMar>
              <w:top w:w="70" w:type="dxa"/>
              <w:start w:w="70" w:type="dxa"/>
              <w:bottom w:w="70" w:type="dxa"/>
              <w:end w:w="70" w:type="dxa"/>
            </w:tcMar>
          </w:tcPr>
          <w:p>
            <w:pPr>
              <w:spacing w:after="0"/>
            </w:pPr>
            <w:r>
              <w:rPr>
                <w:rFonts w:ascii="Aptos" w:hAnsi="Aptos" w:eastAsia="Aptos"/>
                <w:b/>
                <w:color w:val="FFFFFF"/>
                <w:sz w:val="17"/>
              </w:rPr>
              <w:t>Priority Deliverables / Capability</w:t>
            </w:r>
          </w:p>
        </w:tc>
        <w:tc>
          <w:tcPr>
            <w:tcW w:type="dxa" w:w="2088"/>
            <w:shd w:fill="173A5E"/>
            <w:tcMar>
              <w:top w:w="70" w:type="dxa"/>
              <w:start w:w="70" w:type="dxa"/>
              <w:bottom w:w="70" w:type="dxa"/>
              <w:end w:w="70" w:type="dxa"/>
            </w:tcMar>
          </w:tcPr>
          <w:p>
            <w:pPr>
              <w:spacing w:after="0"/>
            </w:pPr>
            <w:r>
              <w:rPr>
                <w:rFonts w:ascii="Aptos" w:hAnsi="Aptos" w:eastAsia="Aptos"/>
                <w:b/>
                <w:color w:val="FFFFFF"/>
                <w:sz w:val="17"/>
              </w:rPr>
              <w:t>Primary Owners</w:t>
            </w:r>
          </w:p>
        </w:tc>
      </w:tr>
      <w:tr>
        <w:trPr>
          <w:cantSplit/>
        </w:trPr>
        <w:tc>
          <w:tcPr>
            <w:tcW w:type="dxa" w:w="2232"/>
            <w:tcMar>
              <w:top w:w="65" w:type="dxa"/>
              <w:start w:w="70" w:type="dxa"/>
              <w:bottom w:w="65" w:type="dxa"/>
              <w:end w:w="70" w:type="dxa"/>
            </w:tcMar>
            <w:vAlign w:val="top"/>
          </w:tcPr>
          <w:p>
            <w:pPr>
              <w:spacing w:after="0" w:line="240" w:lineRule="auto"/>
            </w:pPr>
            <w:r>
              <w:rPr>
                <w:rFonts w:ascii="Aptos" w:hAnsi="Aptos" w:eastAsia="Aptos"/>
                <w:b w:val="0"/>
                <w:color w:val="1F2933"/>
                <w:sz w:val="17"/>
              </w:rPr>
              <w:t>Governance operating model</w:t>
            </w:r>
          </w:p>
        </w:tc>
        <w:tc>
          <w:tcPr>
            <w:tcW w:type="dxa" w:w="6048"/>
            <w:tcMar>
              <w:top w:w="65" w:type="dxa"/>
              <w:start w:w="70" w:type="dxa"/>
              <w:bottom w:w="65" w:type="dxa"/>
              <w:end w:w="70" w:type="dxa"/>
            </w:tcMar>
            <w:vAlign w:val="top"/>
          </w:tcPr>
          <w:p>
            <w:pPr>
              <w:spacing w:after="0" w:line="240" w:lineRule="auto"/>
            </w:pPr>
            <w:r>
              <w:rPr>
                <w:rFonts w:ascii="Aptos" w:hAnsi="Aptos" w:eastAsia="Aptos"/>
                <w:b w:val="0"/>
                <w:color w:val="1F2933"/>
                <w:sz w:val="17"/>
              </w:rPr>
              <w:t>AI Governance Operating Model; committee charter; decision rights; RACI; lifecycle gates.</w:t>
            </w:r>
          </w:p>
        </w:tc>
        <w:tc>
          <w:tcPr>
            <w:tcW w:type="dxa" w:w="2088"/>
            <w:tcMar>
              <w:top w:w="65" w:type="dxa"/>
              <w:start w:w="70" w:type="dxa"/>
              <w:bottom w:w="65" w:type="dxa"/>
              <w:end w:w="70" w:type="dxa"/>
            </w:tcMar>
            <w:vAlign w:val="top"/>
          </w:tcPr>
          <w:p>
            <w:pPr>
              <w:spacing w:after="0" w:line="240" w:lineRule="auto"/>
            </w:pPr>
            <w:r>
              <w:rPr>
                <w:rFonts w:ascii="Aptos" w:hAnsi="Aptos" w:eastAsia="Aptos"/>
                <w:b w:val="0"/>
                <w:color w:val="1F2933"/>
                <w:sz w:val="17"/>
              </w:rPr>
              <w:t>CRCO / AI Governance Lead</w:t>
            </w:r>
          </w:p>
        </w:tc>
      </w:tr>
      <w:tr>
        <w:trPr>
          <w:cantSplit/>
        </w:trPr>
        <w:tc>
          <w:tcPr>
            <w:tcW w:type="dxa" w:w="223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7"/>
              </w:rPr>
              <w:t>Controls and policy</w:t>
            </w:r>
          </w:p>
        </w:tc>
        <w:tc>
          <w:tcPr>
            <w:tcW w:type="dxa" w:w="604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7"/>
              </w:rPr>
              <w:t>AI Control Library; FeatherSafe AI Acceptable Use Standard; Human Oversight Standard.</w:t>
            </w:r>
          </w:p>
        </w:tc>
        <w:tc>
          <w:tcPr>
            <w:tcW w:type="dxa" w:w="208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7"/>
              </w:rPr>
              <w:t>Risk / Security / Privacy / Business Owners</w:t>
            </w:r>
          </w:p>
        </w:tc>
      </w:tr>
      <w:tr>
        <w:trPr>
          <w:cantSplit/>
        </w:trPr>
        <w:tc>
          <w:tcPr>
            <w:tcW w:type="dxa" w:w="2232"/>
            <w:tcMar>
              <w:top w:w="65" w:type="dxa"/>
              <w:start w:w="70" w:type="dxa"/>
              <w:bottom w:w="65" w:type="dxa"/>
              <w:end w:w="70" w:type="dxa"/>
            </w:tcMar>
            <w:vAlign w:val="top"/>
          </w:tcPr>
          <w:p>
            <w:pPr>
              <w:spacing w:after="0" w:line="240" w:lineRule="auto"/>
            </w:pPr>
            <w:r>
              <w:rPr>
                <w:rFonts w:ascii="Aptos" w:hAnsi="Aptos" w:eastAsia="Aptos"/>
                <w:b w:val="0"/>
                <w:color w:val="1F2933"/>
                <w:sz w:val="17"/>
              </w:rPr>
              <w:t>Third-party governance</w:t>
            </w:r>
          </w:p>
        </w:tc>
        <w:tc>
          <w:tcPr>
            <w:tcW w:type="dxa" w:w="6048"/>
            <w:tcMar>
              <w:top w:w="65" w:type="dxa"/>
              <w:start w:w="70" w:type="dxa"/>
              <w:bottom w:w="65" w:type="dxa"/>
              <w:end w:w="70" w:type="dxa"/>
            </w:tcMar>
            <w:vAlign w:val="top"/>
          </w:tcPr>
          <w:p>
            <w:pPr>
              <w:spacing w:after="0" w:line="240" w:lineRule="auto"/>
            </w:pPr>
            <w:r>
              <w:rPr>
                <w:rFonts w:ascii="Aptos" w:hAnsi="Aptos" w:eastAsia="Aptos"/>
                <w:b w:val="0"/>
                <w:color w:val="1F2933"/>
                <w:sz w:val="17"/>
              </w:rPr>
              <w:t>AI supplier due-diligence questionnaire; contract, incident, data-use, change, resilience, and exit requirements.</w:t>
            </w:r>
          </w:p>
        </w:tc>
        <w:tc>
          <w:tcPr>
            <w:tcW w:type="dxa" w:w="2088"/>
            <w:tcMar>
              <w:top w:w="65" w:type="dxa"/>
              <w:start w:w="70" w:type="dxa"/>
              <w:bottom w:w="65" w:type="dxa"/>
              <w:end w:w="70" w:type="dxa"/>
            </w:tcMar>
            <w:vAlign w:val="top"/>
          </w:tcPr>
          <w:p>
            <w:pPr>
              <w:spacing w:after="0" w:line="240" w:lineRule="auto"/>
            </w:pPr>
            <w:r>
              <w:rPr>
                <w:rFonts w:ascii="Aptos" w:hAnsi="Aptos" w:eastAsia="Aptos"/>
                <w:b w:val="0"/>
                <w:color w:val="1F2933"/>
                <w:sz w:val="17"/>
              </w:rPr>
              <w:t>Procurement / Security / Privacy</w:t>
            </w:r>
          </w:p>
        </w:tc>
      </w:tr>
      <w:tr>
        <w:trPr>
          <w:cantSplit/>
        </w:trPr>
        <w:tc>
          <w:tcPr>
            <w:tcW w:type="dxa" w:w="223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7"/>
              </w:rPr>
              <w:t>Incident and monitoring</w:t>
            </w:r>
          </w:p>
        </w:tc>
        <w:tc>
          <w:tcPr>
            <w:tcW w:type="dxa" w:w="604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7"/>
              </w:rPr>
              <w:t>AI Incident &amp; Escalation Playbook; AI Monitoring &amp; Reassessment Standard.</w:t>
            </w:r>
          </w:p>
        </w:tc>
        <w:tc>
          <w:tcPr>
            <w:tcW w:type="dxa" w:w="208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7"/>
              </w:rPr>
              <w:t>CISO / Data &amp; AI / Risk</w:t>
            </w:r>
          </w:p>
        </w:tc>
      </w:tr>
      <w:tr>
        <w:trPr>
          <w:cantSplit/>
        </w:trPr>
        <w:tc>
          <w:tcPr>
            <w:tcW w:type="dxa" w:w="2232"/>
            <w:tcMar>
              <w:top w:w="65" w:type="dxa"/>
              <w:start w:w="70" w:type="dxa"/>
              <w:bottom w:w="65" w:type="dxa"/>
              <w:end w:w="70" w:type="dxa"/>
            </w:tcMar>
            <w:vAlign w:val="top"/>
          </w:tcPr>
          <w:p>
            <w:pPr>
              <w:spacing w:after="0" w:line="240" w:lineRule="auto"/>
            </w:pPr>
            <w:r>
              <w:rPr>
                <w:rFonts w:ascii="Aptos" w:hAnsi="Aptos" w:eastAsia="Aptos"/>
                <w:b w:val="0"/>
                <w:color w:val="1F2933"/>
                <w:sz w:val="17"/>
              </w:rPr>
              <w:t>Reporting and assurance</w:t>
            </w:r>
          </w:p>
        </w:tc>
        <w:tc>
          <w:tcPr>
            <w:tcW w:type="dxa" w:w="6048"/>
            <w:tcMar>
              <w:top w:w="65" w:type="dxa"/>
              <w:start w:w="70" w:type="dxa"/>
              <w:bottom w:w="65" w:type="dxa"/>
              <w:end w:w="70" w:type="dxa"/>
            </w:tcMar>
            <w:vAlign w:val="top"/>
          </w:tcPr>
          <w:p>
            <w:pPr>
              <w:spacing w:after="0" w:line="240" w:lineRule="auto"/>
            </w:pPr>
            <w:r>
              <w:rPr>
                <w:rFonts w:ascii="Aptos" w:hAnsi="Aptos" w:eastAsia="Aptos"/>
                <w:b w:val="0"/>
                <w:color w:val="1F2933"/>
                <w:sz w:val="17"/>
              </w:rPr>
              <w:t>DuckPond Governance Dashboard; evidence traceability; assurance-readiness design.</w:t>
            </w:r>
          </w:p>
        </w:tc>
        <w:tc>
          <w:tcPr>
            <w:tcW w:type="dxa" w:w="2088"/>
            <w:tcMar>
              <w:top w:w="65" w:type="dxa"/>
              <w:start w:w="70" w:type="dxa"/>
              <w:bottom w:w="65" w:type="dxa"/>
              <w:end w:w="70" w:type="dxa"/>
            </w:tcMar>
            <w:vAlign w:val="top"/>
          </w:tcPr>
          <w:p>
            <w:pPr>
              <w:spacing w:after="0" w:line="240" w:lineRule="auto"/>
            </w:pPr>
            <w:r>
              <w:rPr>
                <w:rFonts w:ascii="Aptos" w:hAnsi="Aptos" w:eastAsia="Aptos"/>
                <w:b w:val="0"/>
                <w:color w:val="1F2933"/>
                <w:sz w:val="17"/>
              </w:rPr>
              <w:t>AI Governance Lead / Internal Audit observer</w:t>
            </w:r>
          </w:p>
        </w:tc>
      </w:tr>
      <w:tr>
        <w:trPr>
          <w:cantSplit/>
        </w:trPr>
        <w:tc>
          <w:tcPr>
            <w:tcW w:type="dxa" w:w="223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7"/>
              </w:rPr>
              <w:t>Implementation planning</w:t>
            </w:r>
          </w:p>
        </w:tc>
        <w:tc>
          <w:tcPr>
            <w:tcW w:type="dxa" w:w="604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7"/>
              </w:rPr>
              <w:t>90-day / six-month roadmap, dependencies, quick wins, owners, gates and sequencing.</w:t>
            </w:r>
          </w:p>
        </w:tc>
        <w:tc>
          <w:tcPr>
            <w:tcW w:type="dxa" w:w="208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7"/>
              </w:rPr>
              <w:t>AI Governance Lead</w:t>
            </w:r>
          </w:p>
        </w:tc>
      </w:tr>
    </w:tbl>
    <w:p>
      <w:pPr>
        <w:keepNext/>
        <w:spacing w:before="200" w:after="100"/>
      </w:pPr>
      <w:r>
        <w:rPr>
          <w:rFonts w:ascii="Aptos" w:hAnsi="Aptos" w:eastAsia="Aptos"/>
          <w:b/>
          <w:color w:val="173A5E"/>
          <w:sz w:val="30"/>
        </w:rPr>
        <w:t>9. Benefits Realization Framework</w:t>
      </w:r>
    </w:p>
    <w:p>
      <w:pPr>
        <w:spacing w:after="100" w:line="259" w:lineRule="auto"/>
      </w:pPr>
      <w:r>
        <w:rPr>
          <w:rFonts w:ascii="Aptos" w:hAnsi="Aptos" w:eastAsia="Aptos"/>
          <w:b w:val="0"/>
          <w:color w:val="1F2933"/>
          <w:sz w:val="20"/>
        </w:rPr>
        <w:t>Benefits should be measured in two layers: business outcome measures for each AI use case and governance outcome measures for the enterprise capability. Targets should be approved only after baselines are established.</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091"/>
        <w:gridCol w:w="2091"/>
        <w:gridCol w:w="2091"/>
        <w:gridCol w:w="2091"/>
        <w:gridCol w:w="2091"/>
      </w:tblGrid>
      <w:tr>
        <w:trPr>
          <w:tblHeader w:val="true"/>
          <w:cantSplit/>
        </w:trPr>
        <w:tc>
          <w:tcPr>
            <w:tcW w:type="dxa" w:w="1728"/>
            <w:shd w:fill="173A5E"/>
            <w:tcMar>
              <w:top w:w="70" w:type="dxa"/>
              <w:start w:w="70" w:type="dxa"/>
              <w:bottom w:w="70" w:type="dxa"/>
              <w:end w:w="70" w:type="dxa"/>
            </w:tcMar>
          </w:tcPr>
          <w:p>
            <w:pPr>
              <w:spacing w:after="0"/>
            </w:pPr>
            <w:r>
              <w:rPr>
                <w:rFonts w:ascii="Aptos" w:hAnsi="Aptos" w:eastAsia="Aptos"/>
                <w:b/>
                <w:color w:val="FFFFFF"/>
                <w:sz w:val="15"/>
              </w:rPr>
              <w:t>Benefit Domain</w:t>
            </w:r>
          </w:p>
        </w:tc>
        <w:tc>
          <w:tcPr>
            <w:tcW w:type="dxa" w:w="3744"/>
            <w:shd w:fill="173A5E"/>
            <w:tcMar>
              <w:top w:w="70" w:type="dxa"/>
              <w:start w:w="70" w:type="dxa"/>
              <w:bottom w:w="70" w:type="dxa"/>
              <w:end w:w="70" w:type="dxa"/>
            </w:tcMar>
          </w:tcPr>
          <w:p>
            <w:pPr>
              <w:spacing w:after="0"/>
            </w:pPr>
            <w:r>
              <w:rPr>
                <w:rFonts w:ascii="Aptos" w:hAnsi="Aptos" w:eastAsia="Aptos"/>
                <w:b/>
                <w:color w:val="FFFFFF"/>
                <w:sz w:val="15"/>
              </w:rPr>
              <w:t>Example Measure</w:t>
            </w:r>
          </w:p>
        </w:tc>
        <w:tc>
          <w:tcPr>
            <w:tcW w:type="dxa" w:w="1080"/>
            <w:shd w:fill="173A5E"/>
            <w:tcMar>
              <w:top w:w="70" w:type="dxa"/>
              <w:start w:w="70" w:type="dxa"/>
              <w:bottom w:w="70" w:type="dxa"/>
              <w:end w:w="70" w:type="dxa"/>
            </w:tcMar>
          </w:tcPr>
          <w:p>
            <w:pPr>
              <w:spacing w:after="0"/>
            </w:pPr>
            <w:r>
              <w:rPr>
                <w:rFonts w:ascii="Aptos" w:hAnsi="Aptos" w:eastAsia="Aptos"/>
                <w:b/>
                <w:color w:val="FFFFFF"/>
                <w:sz w:val="15"/>
              </w:rPr>
              <w:t>Baseline</w:t>
            </w:r>
          </w:p>
        </w:tc>
        <w:tc>
          <w:tcPr>
            <w:tcW w:type="dxa" w:w="1080"/>
            <w:shd w:fill="173A5E"/>
            <w:tcMar>
              <w:top w:w="70" w:type="dxa"/>
              <w:start w:w="70" w:type="dxa"/>
              <w:bottom w:w="70" w:type="dxa"/>
              <w:end w:w="70" w:type="dxa"/>
            </w:tcMar>
          </w:tcPr>
          <w:p>
            <w:pPr>
              <w:spacing w:after="0"/>
            </w:pPr>
            <w:r>
              <w:rPr>
                <w:rFonts w:ascii="Aptos" w:hAnsi="Aptos" w:eastAsia="Aptos"/>
                <w:b/>
                <w:color w:val="FFFFFF"/>
                <w:sz w:val="15"/>
              </w:rPr>
              <w:t>Target</w:t>
            </w:r>
          </w:p>
        </w:tc>
        <w:tc>
          <w:tcPr>
            <w:tcW w:type="dxa" w:w="2664"/>
            <w:shd w:fill="173A5E"/>
            <w:tcMar>
              <w:top w:w="70" w:type="dxa"/>
              <w:start w:w="70" w:type="dxa"/>
              <w:bottom w:w="70" w:type="dxa"/>
              <w:end w:w="70" w:type="dxa"/>
            </w:tcMar>
          </w:tcPr>
          <w:p>
            <w:pPr>
              <w:spacing w:after="0"/>
            </w:pPr>
            <w:r>
              <w:rPr>
                <w:rFonts w:ascii="Aptos" w:hAnsi="Aptos" w:eastAsia="Aptos"/>
                <w:b/>
                <w:color w:val="FFFFFF"/>
                <w:sz w:val="15"/>
              </w:rPr>
              <w:t>Evidence Source</w:t>
            </w:r>
          </w:p>
        </w:tc>
      </w:tr>
      <w:tr>
        <w:trPr>
          <w:cantSplit/>
        </w:trPr>
        <w:tc>
          <w:tcPr>
            <w:tcW w:type="dxa" w:w="1728"/>
            <w:tcMar>
              <w:top w:w="65" w:type="dxa"/>
              <w:start w:w="70" w:type="dxa"/>
              <w:bottom w:w="65" w:type="dxa"/>
              <w:end w:w="70" w:type="dxa"/>
            </w:tcMar>
            <w:vAlign w:val="top"/>
          </w:tcPr>
          <w:p>
            <w:pPr>
              <w:spacing w:after="0" w:line="240" w:lineRule="auto"/>
            </w:pPr>
            <w:r>
              <w:rPr>
                <w:rFonts w:ascii="Aptos" w:hAnsi="Aptos" w:eastAsia="Aptos"/>
                <w:b w:val="0"/>
                <w:color w:val="1F2933"/>
                <w:sz w:val="15"/>
              </w:rPr>
              <w:t>Engineering productivity</w:t>
            </w:r>
          </w:p>
        </w:tc>
        <w:tc>
          <w:tcPr>
            <w:tcW w:type="dxa" w:w="3744"/>
            <w:tcMar>
              <w:top w:w="65" w:type="dxa"/>
              <w:start w:w="70" w:type="dxa"/>
              <w:bottom w:w="65" w:type="dxa"/>
              <w:end w:w="70" w:type="dxa"/>
            </w:tcMar>
            <w:vAlign w:val="top"/>
          </w:tcPr>
          <w:p>
            <w:pPr>
              <w:spacing w:after="0" w:line="240" w:lineRule="auto"/>
            </w:pPr>
            <w:r>
              <w:rPr>
                <w:rFonts w:ascii="Aptos" w:hAnsi="Aptos" w:eastAsia="Aptos"/>
                <w:b w:val="0"/>
                <w:color w:val="1F2933"/>
                <w:sz w:val="15"/>
              </w:rPr>
              <w:t>Median design-cycle duration; engineer time spent on repetitive design tasks.</w:t>
            </w:r>
          </w:p>
        </w:tc>
        <w:tc>
          <w:tcPr>
            <w:tcW w:type="dxa" w:w="1080"/>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1080"/>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2664"/>
            <w:tcMar>
              <w:top w:w="65" w:type="dxa"/>
              <w:start w:w="70" w:type="dxa"/>
              <w:bottom w:w="65" w:type="dxa"/>
              <w:end w:w="70" w:type="dxa"/>
            </w:tcMar>
            <w:vAlign w:val="top"/>
          </w:tcPr>
          <w:p>
            <w:pPr>
              <w:spacing w:after="0" w:line="240" w:lineRule="auto"/>
            </w:pPr>
            <w:r>
              <w:rPr>
                <w:rFonts w:ascii="Aptos" w:hAnsi="Aptos" w:eastAsia="Aptos"/>
                <w:b w:val="0"/>
                <w:color w:val="1F2933"/>
                <w:sz w:val="15"/>
              </w:rPr>
              <w:t>Engineering workflow / pilot records</w:t>
            </w:r>
          </w:p>
        </w:tc>
      </w:tr>
      <w:tr>
        <w:trPr>
          <w:cantSplit/>
        </w:trPr>
        <w:tc>
          <w:tcPr>
            <w:tcW w:type="dxa" w:w="172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Customer operations</w:t>
            </w:r>
          </w:p>
        </w:tc>
        <w:tc>
          <w:tcPr>
            <w:tcW w:type="dxa" w:w="374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First-response time; escalation rate; complaint rate; unresolved or inaccurate-answer rate.</w:t>
            </w:r>
          </w:p>
        </w:tc>
        <w:tc>
          <w:tcPr>
            <w:tcW w:type="dxa" w:w="108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108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266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Support platform / QuackBot monitoring</w:t>
            </w:r>
          </w:p>
        </w:tc>
      </w:tr>
      <w:tr>
        <w:trPr>
          <w:cantSplit/>
        </w:trPr>
        <w:tc>
          <w:tcPr>
            <w:tcW w:type="dxa" w:w="1728"/>
            <w:tcMar>
              <w:top w:w="65" w:type="dxa"/>
              <w:start w:w="70" w:type="dxa"/>
              <w:bottom w:w="65" w:type="dxa"/>
              <w:end w:w="70" w:type="dxa"/>
            </w:tcMar>
            <w:vAlign w:val="top"/>
          </w:tcPr>
          <w:p>
            <w:pPr>
              <w:spacing w:after="0" w:line="240" w:lineRule="auto"/>
            </w:pPr>
            <w:r>
              <w:rPr>
                <w:rFonts w:ascii="Aptos" w:hAnsi="Aptos" w:eastAsia="Aptos"/>
                <w:b w:val="0"/>
                <w:color w:val="1F2933"/>
                <w:sz w:val="15"/>
              </w:rPr>
              <w:t>Supply chain</w:t>
            </w:r>
          </w:p>
        </w:tc>
        <w:tc>
          <w:tcPr>
            <w:tcW w:type="dxa" w:w="3744"/>
            <w:tcMar>
              <w:top w:w="65" w:type="dxa"/>
              <w:start w:w="70" w:type="dxa"/>
              <w:bottom w:w="65" w:type="dxa"/>
              <w:end w:w="70" w:type="dxa"/>
            </w:tcMar>
            <w:vAlign w:val="top"/>
          </w:tcPr>
          <w:p>
            <w:pPr>
              <w:spacing w:after="0" w:line="240" w:lineRule="auto"/>
            </w:pPr>
            <w:r>
              <w:rPr>
                <w:rFonts w:ascii="Aptos" w:hAnsi="Aptos" w:eastAsia="Aptos"/>
                <w:b w:val="0"/>
                <w:color w:val="1F2933"/>
                <w:sz w:val="15"/>
              </w:rPr>
              <w:t>Forecast error; excess inventory; shortage frequency; manual forecast-adjustment rate.</w:t>
            </w:r>
          </w:p>
        </w:tc>
        <w:tc>
          <w:tcPr>
            <w:tcW w:type="dxa" w:w="1080"/>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1080"/>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2664"/>
            <w:tcMar>
              <w:top w:w="65" w:type="dxa"/>
              <w:start w:w="70" w:type="dxa"/>
              <w:bottom w:w="65" w:type="dxa"/>
              <w:end w:w="70" w:type="dxa"/>
            </w:tcMar>
            <w:vAlign w:val="top"/>
          </w:tcPr>
          <w:p>
            <w:pPr>
              <w:spacing w:after="0" w:line="240" w:lineRule="auto"/>
            </w:pPr>
            <w:r>
              <w:rPr>
                <w:rFonts w:ascii="Aptos" w:hAnsi="Aptos" w:eastAsia="Aptos"/>
                <w:b w:val="0"/>
                <w:color w:val="1F2933"/>
                <w:sz w:val="15"/>
              </w:rPr>
              <w:t>Planning / inventory records</w:t>
            </w:r>
          </w:p>
        </w:tc>
      </w:tr>
      <w:tr>
        <w:trPr>
          <w:cantSplit/>
        </w:trPr>
        <w:tc>
          <w:tcPr>
            <w:tcW w:type="dxa" w:w="172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Manufacturing quality</w:t>
            </w:r>
          </w:p>
        </w:tc>
        <w:tc>
          <w:tcPr>
            <w:tcW w:type="dxa" w:w="374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Defect-detection precision/recall; false-negative rate; human override rate; defect escape rate.</w:t>
            </w:r>
          </w:p>
        </w:tc>
        <w:tc>
          <w:tcPr>
            <w:tcW w:type="dxa" w:w="108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108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266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Quality inspection records</w:t>
            </w:r>
          </w:p>
        </w:tc>
      </w:tr>
      <w:tr>
        <w:trPr>
          <w:cantSplit/>
        </w:trPr>
        <w:tc>
          <w:tcPr>
            <w:tcW w:type="dxa" w:w="1728"/>
            <w:tcMar>
              <w:top w:w="65" w:type="dxa"/>
              <w:start w:w="70" w:type="dxa"/>
              <w:bottom w:w="65" w:type="dxa"/>
              <w:end w:w="70" w:type="dxa"/>
            </w:tcMar>
            <w:vAlign w:val="top"/>
          </w:tcPr>
          <w:p>
            <w:pPr>
              <w:spacing w:after="0" w:line="240" w:lineRule="auto"/>
            </w:pPr>
            <w:r>
              <w:rPr>
                <w:rFonts w:ascii="Aptos" w:hAnsi="Aptos" w:eastAsia="Aptos"/>
                <w:b w:val="0"/>
                <w:color w:val="1F2933"/>
                <w:sz w:val="15"/>
              </w:rPr>
              <w:t>Recruitment efficiency</w:t>
            </w:r>
          </w:p>
        </w:tc>
        <w:tc>
          <w:tcPr>
            <w:tcW w:type="dxa" w:w="3744"/>
            <w:tcMar>
              <w:top w:w="65" w:type="dxa"/>
              <w:start w:w="70" w:type="dxa"/>
              <w:bottom w:w="65" w:type="dxa"/>
              <w:end w:w="70" w:type="dxa"/>
            </w:tcMar>
            <w:vAlign w:val="top"/>
          </w:tcPr>
          <w:p>
            <w:pPr>
              <w:spacing w:after="0" w:line="240" w:lineRule="auto"/>
            </w:pPr>
            <w:r>
              <w:rPr>
                <w:rFonts w:ascii="Aptos" w:hAnsi="Aptos" w:eastAsia="Aptos"/>
                <w:b w:val="0"/>
                <w:color w:val="1F2933"/>
                <w:sz w:val="15"/>
              </w:rPr>
              <w:t>Recruiter review time per application; override/review rate; fairness and challenge indicators.</w:t>
            </w:r>
          </w:p>
        </w:tc>
        <w:tc>
          <w:tcPr>
            <w:tcW w:type="dxa" w:w="1080"/>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1080"/>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2664"/>
            <w:tcMar>
              <w:top w:w="65" w:type="dxa"/>
              <w:start w:w="70" w:type="dxa"/>
              <w:bottom w:w="65" w:type="dxa"/>
              <w:end w:w="70" w:type="dxa"/>
            </w:tcMar>
            <w:vAlign w:val="top"/>
          </w:tcPr>
          <w:p>
            <w:pPr>
              <w:spacing w:after="0" w:line="240" w:lineRule="auto"/>
            </w:pPr>
            <w:r>
              <w:rPr>
                <w:rFonts w:ascii="Aptos" w:hAnsi="Aptos" w:eastAsia="Aptos"/>
                <w:b w:val="0"/>
                <w:color w:val="1F2933"/>
                <w:sz w:val="15"/>
              </w:rPr>
              <w:t>HR pilot / synthetic validation evidence</w:t>
            </w:r>
          </w:p>
        </w:tc>
      </w:tr>
      <w:tr>
        <w:trPr>
          <w:cantSplit/>
        </w:trPr>
        <w:tc>
          <w:tcPr>
            <w:tcW w:type="dxa" w:w="172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Employee productivity</w:t>
            </w:r>
          </w:p>
        </w:tc>
        <w:tc>
          <w:tcPr>
            <w:tcW w:type="dxa" w:w="374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Adoption of approved AI; task-cycle time; employee-reported utility; shadow-AI reduction.</w:t>
            </w:r>
          </w:p>
        </w:tc>
        <w:tc>
          <w:tcPr>
            <w:tcW w:type="dxa" w:w="108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108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266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PondGPT telemetry / discovery records</w:t>
            </w:r>
          </w:p>
        </w:tc>
      </w:tr>
      <w:tr>
        <w:trPr>
          <w:cantSplit/>
        </w:trPr>
        <w:tc>
          <w:tcPr>
            <w:tcW w:type="dxa" w:w="1728"/>
            <w:tcMar>
              <w:top w:w="65" w:type="dxa"/>
              <w:start w:w="70" w:type="dxa"/>
              <w:bottom w:w="65" w:type="dxa"/>
              <w:end w:w="70" w:type="dxa"/>
            </w:tcMar>
            <w:vAlign w:val="top"/>
          </w:tcPr>
          <w:p>
            <w:pPr>
              <w:spacing w:after="0" w:line="240" w:lineRule="auto"/>
            </w:pPr>
            <w:r>
              <w:rPr>
                <w:rFonts w:ascii="Aptos" w:hAnsi="Aptos" w:eastAsia="Aptos"/>
                <w:b w:val="0"/>
                <w:color w:val="1F2933"/>
                <w:sz w:val="15"/>
              </w:rPr>
              <w:t>Governance effectiveness</w:t>
            </w:r>
          </w:p>
        </w:tc>
        <w:tc>
          <w:tcPr>
            <w:tcW w:type="dxa" w:w="3744"/>
            <w:tcMar>
              <w:top w:w="65" w:type="dxa"/>
              <w:start w:w="70" w:type="dxa"/>
              <w:bottom w:w="65" w:type="dxa"/>
              <w:end w:w="70" w:type="dxa"/>
            </w:tcMar>
            <w:vAlign w:val="top"/>
          </w:tcPr>
          <w:p>
            <w:pPr>
              <w:spacing w:after="0" w:line="240" w:lineRule="auto"/>
            </w:pPr>
            <w:r>
              <w:rPr>
                <w:rFonts w:ascii="Aptos" w:hAnsi="Aptos" w:eastAsia="Aptos"/>
                <w:b w:val="0"/>
                <w:color w:val="1F2933"/>
                <w:sz w:val="15"/>
              </w:rPr>
              <w:t>Inventory completeness; assessment completion; overdue reviews; control-evidence completeness; critical risks; incidents.</w:t>
            </w:r>
          </w:p>
        </w:tc>
        <w:tc>
          <w:tcPr>
            <w:tcW w:type="dxa" w:w="1080"/>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1080"/>
            <w:tcMar>
              <w:top w:w="65" w:type="dxa"/>
              <w:start w:w="70" w:type="dxa"/>
              <w:bottom w:w="65" w:type="dxa"/>
              <w:end w:w="70" w:type="dxa"/>
            </w:tcMar>
            <w:vAlign w:val="top"/>
          </w:tcPr>
          <w:p>
            <w:pPr>
              <w:spacing w:after="0" w:line="240" w:lineRule="auto"/>
            </w:pPr>
            <w:r>
              <w:rPr>
                <w:rFonts w:ascii="Aptos" w:hAnsi="Aptos" w:eastAsia="Aptos"/>
                <w:b w:val="0"/>
                <w:color w:val="1F2933"/>
                <w:sz w:val="15"/>
              </w:rPr>
              <w:t>TBD</w:t>
            </w:r>
          </w:p>
        </w:tc>
        <w:tc>
          <w:tcPr>
            <w:tcW w:type="dxa" w:w="2664"/>
            <w:tcMar>
              <w:top w:w="65" w:type="dxa"/>
              <w:start w:w="70" w:type="dxa"/>
              <w:bottom w:w="65" w:type="dxa"/>
              <w:end w:w="70" w:type="dxa"/>
            </w:tcMar>
            <w:vAlign w:val="top"/>
          </w:tcPr>
          <w:p>
            <w:pPr>
              <w:spacing w:after="0" w:line="240" w:lineRule="auto"/>
            </w:pPr>
            <w:r>
              <w:rPr>
                <w:rFonts w:ascii="Aptos" w:hAnsi="Aptos" w:eastAsia="Aptos"/>
                <w:b w:val="0"/>
                <w:color w:val="1F2933"/>
                <w:sz w:val="15"/>
              </w:rPr>
              <w:t>QuackTrack / DuckPond dashboard</w:t>
            </w:r>
          </w:p>
        </w:tc>
      </w:tr>
    </w:tbl>
    <w:p>
      <w:pPr>
        <w:spacing w:after="20" w:before="0" w:line="120" w:lineRule="auto"/>
      </w:pPr>
    </w:p>
    <w:tbl>
      <w:tblPr>
        <w:tblW w:type="auto" w:w="0"/>
        <w:jc w:val="center"/>
        <w:tblLook w:firstColumn="1" w:firstRow="1" w:lastColumn="0" w:lastRow="0" w:noHBand="0" w:noVBand="1" w:val="04A0"/>
        <w:tblBorders>
          <w:top w:val="single" w:sz="8" w:space="0" w:color="3C817A"/>
          <w:left w:val="single" w:sz="8" w:space="0" w:color="3C817A"/>
          <w:bottom w:val="single" w:sz="8" w:space="0" w:color="3C817A"/>
          <w:right w:val="single" w:sz="8" w:space="0" w:color="3C817A"/>
          <w:insideH w:val="single" w:sz="8" w:space="0" w:color="3C817A"/>
          <w:insideV w:val="single" w:sz="8" w:space="0" w:color="3C817A"/>
        </w:tblBorders>
      </w:tblPr>
      <w:tblGrid>
        <w:gridCol w:w="10454"/>
      </w:tblGrid>
      <w:tr>
        <w:trPr>
          <w:cantSplit/>
        </w:trPr>
        <w:tc>
          <w:tcPr>
            <w:tcW w:type="dxa" w:w="10454"/>
            <w:shd w:fill="EAF3F1"/>
            <w:tcMar>
              <w:top w:w="100" w:type="dxa"/>
              <w:start w:w="120" w:type="dxa"/>
              <w:bottom w:w="100" w:type="dxa"/>
              <w:end w:w="120" w:type="dxa"/>
            </w:tcMar>
          </w:tcPr>
          <w:p>
            <w:pPr>
              <w:spacing w:after="60"/>
            </w:pPr>
            <w:r>
              <w:rPr>
                <w:rFonts w:ascii="Aptos" w:hAnsi="Aptos" w:eastAsia="Aptos"/>
                <w:b/>
                <w:color w:val="3C817A"/>
                <w:sz w:val="21"/>
              </w:rPr>
              <w:t>Financial case discipline</w:t>
            </w:r>
          </w:p>
          <w:p>
            <w:pPr>
              <w:spacing w:after="0" w:line="252" w:lineRule="auto"/>
            </w:pPr>
            <w:r>
              <w:rPr>
                <w:rFonts w:ascii="Aptos" w:hAnsi="Aptos" w:eastAsia="Aptos"/>
                <w:b w:val="0"/>
                <w:color w:val="1F2933"/>
                <w:sz w:val="20"/>
              </w:rPr>
              <w:t>No monetary ROI, payback period, NPV, or cost savings should be presented until Duckworks establishes credible baselines for labor effort, cycle times, incident exposure, vendor cost, implementation cost, and realized business outcomes. A staged business case with benefits tracking is more defensible than synthetic precision.</w:t>
            </w:r>
          </w:p>
        </w:tc>
      </w:tr>
    </w:tbl>
    <w:p>
      <w:pPr>
        <w:keepNext/>
        <w:spacing w:before="200" w:after="100"/>
      </w:pPr>
      <w:r>
        <w:rPr>
          <w:rFonts w:ascii="Aptos" w:hAnsi="Aptos" w:eastAsia="Aptos"/>
          <w:b/>
          <w:color w:val="173A5E"/>
          <w:sz w:val="30"/>
        </w:rPr>
        <w:t>10. Cost and Resource Considerations</w:t>
      </w:r>
    </w:p>
    <w:p>
      <w:pPr>
        <w:spacing w:after="100" w:line="259" w:lineRule="auto"/>
      </w:pPr>
      <w:r>
        <w:rPr>
          <w:rFonts w:ascii="Aptos" w:hAnsi="Aptos" w:eastAsia="Aptos"/>
          <w:b w:val="0"/>
          <w:color w:val="1F2933"/>
          <w:sz w:val="20"/>
        </w:rPr>
        <w:t>The project evidence does not include budget, salary, vendor pricing, tooling costs, legal fees, or implementation effort estimates. Accordingly, this business case defines cost categories but does not fabricate financial amounts.</w:t>
      </w:r>
    </w:p>
    <w:p>
      <w:pPr>
        <w:pStyle w:val="ListBullet"/>
        <w:spacing w:after="40" w:line="252" w:lineRule="auto"/>
        <w:ind w:left="360" w:hanging="216"/>
      </w:pPr>
      <w:r>
        <w:rPr>
          <w:rFonts w:ascii="Aptos" w:hAnsi="Aptos" w:eastAsia="Aptos"/>
          <w:color w:val="1F2933"/>
          <w:sz w:val="20"/>
        </w:rPr>
        <w:t>Program capacity: AI Governance Lead, system owners, Risk &amp; Compliance, Security, Privacy, Legal, HR, Procurement, Data &amp; AI, Product Safety, and Internal Audit observation.</w:t>
      </w:r>
    </w:p>
    <w:p>
      <w:pPr>
        <w:pStyle w:val="ListBullet"/>
        <w:spacing w:after="40" w:line="252" w:lineRule="auto"/>
        <w:ind w:left="360" w:hanging="216"/>
      </w:pPr>
      <w:r>
        <w:rPr>
          <w:rFonts w:ascii="Aptos" w:hAnsi="Aptos" w:eastAsia="Aptos"/>
          <w:color w:val="1F2933"/>
          <w:sz w:val="20"/>
        </w:rPr>
        <w:t>Process and tooling: inventory/workflow configuration, evidence repository, dashboarding, access controls, logging, monitoring, discovery of unregistered tools, and integration with existing GRC/IT processes.</w:t>
      </w:r>
    </w:p>
    <w:p>
      <w:pPr>
        <w:pStyle w:val="ListBullet"/>
        <w:spacing w:after="40" w:line="252" w:lineRule="auto"/>
        <w:ind w:left="360" w:hanging="216"/>
      </w:pPr>
      <w:r>
        <w:rPr>
          <w:rFonts w:ascii="Aptos" w:hAnsi="Aptos" w:eastAsia="Aptos"/>
          <w:color w:val="1F2933"/>
          <w:sz w:val="20"/>
        </w:rPr>
        <w:t>System assurance: security testing, model/performance validation, fairness testing where relevant, human-oversight validation, supplier review, and change evidence.</w:t>
      </w:r>
    </w:p>
    <w:p>
      <w:pPr>
        <w:pStyle w:val="ListBullet"/>
        <w:spacing w:after="40" w:line="252" w:lineRule="auto"/>
        <w:ind w:left="360" w:hanging="216"/>
      </w:pPr>
      <w:r>
        <w:rPr>
          <w:rFonts w:ascii="Aptos" w:hAnsi="Aptos" w:eastAsia="Aptos"/>
          <w:color w:val="1F2933"/>
          <w:sz w:val="20"/>
        </w:rPr>
        <w:t>Policy and enablement: acceptable-use rules, standards, process guidance, awareness/training content, and exception handling.</w:t>
      </w:r>
    </w:p>
    <w:p>
      <w:pPr>
        <w:pStyle w:val="ListBullet"/>
        <w:spacing w:after="40" w:line="252" w:lineRule="auto"/>
        <w:ind w:left="360" w:hanging="216"/>
      </w:pPr>
      <w:r>
        <w:rPr>
          <w:rFonts w:ascii="Aptos" w:hAnsi="Aptos" w:eastAsia="Aptos"/>
          <w:color w:val="1F2933"/>
          <w:sz w:val="20"/>
        </w:rPr>
        <w:t>Ongoing operating cost: governance committee cadence, reassessments, monitoring, evidence refresh, incident handling, vendor renewals, and independent assurance.</w:t>
      </w:r>
    </w:p>
    <w:p>
      <w:pPr>
        <w:spacing w:after="100" w:line="259" w:lineRule="auto"/>
      </w:pPr>
      <w:r>
        <w:rPr>
          <w:rFonts w:ascii="Aptos" w:hAnsi="Aptos" w:eastAsia="Aptos"/>
          <w:b w:val="0"/>
          <w:color w:val="1F2933"/>
          <w:sz w:val="20"/>
        </w:rPr>
        <w:t>Resource estimates should be completed as part of DEL-24 Implementation Roadmap and should distinguish one-time implementation effort from recurring control operation.</w:t>
      </w:r>
    </w:p>
    <w:p>
      <w:pPr>
        <w:keepNext/>
        <w:spacing w:before="200" w:after="100"/>
      </w:pPr>
      <w:r>
        <w:rPr>
          <w:rFonts w:ascii="Aptos" w:hAnsi="Aptos" w:eastAsia="Aptos"/>
          <w:b/>
          <w:color w:val="173A5E"/>
          <w:sz w:val="30"/>
        </w:rPr>
        <w:t>11. Key Risks, Constraints, and Dependencies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13"/>
        <w:gridCol w:w="2613"/>
        <w:gridCol w:w="2613"/>
        <w:gridCol w:w="2613"/>
      </w:tblGrid>
      <w:tr>
        <w:trPr>
          <w:tblHeader w:val="true"/>
          <w:cantSplit/>
        </w:trPr>
        <w:tc>
          <w:tcPr>
            <w:tcW w:type="dxa" w:w="1440"/>
            <w:shd w:fill="173A5E"/>
            <w:tcMar>
              <w:top w:w="70" w:type="dxa"/>
              <w:start w:w="70" w:type="dxa"/>
              <w:bottom w:w="70" w:type="dxa"/>
              <w:end w:w="70" w:type="dxa"/>
            </w:tcMar>
          </w:tcPr>
          <w:p>
            <w:pPr>
              <w:spacing w:after="0"/>
            </w:pPr>
            <w:r>
              <w:rPr>
                <w:rFonts w:ascii="Aptos" w:hAnsi="Aptos" w:eastAsia="Aptos"/>
                <w:b/>
                <w:color w:val="FFFFFF"/>
                <w:sz w:val="15"/>
              </w:rPr>
              <w:t>Type</w:t>
            </w:r>
          </w:p>
        </w:tc>
        <w:tc>
          <w:tcPr>
            <w:tcW w:type="dxa" w:w="2952"/>
            <w:shd w:fill="173A5E"/>
            <w:tcMar>
              <w:top w:w="70" w:type="dxa"/>
              <w:start w:w="70" w:type="dxa"/>
              <w:bottom w:w="70" w:type="dxa"/>
              <w:end w:w="70" w:type="dxa"/>
            </w:tcMar>
          </w:tcPr>
          <w:p>
            <w:pPr>
              <w:spacing w:after="0"/>
            </w:pPr>
            <w:r>
              <w:rPr>
                <w:rFonts w:ascii="Aptos" w:hAnsi="Aptos" w:eastAsia="Aptos"/>
                <w:b/>
                <w:color w:val="FFFFFF"/>
                <w:sz w:val="15"/>
              </w:rPr>
              <w:t>Risk / Dependency</w:t>
            </w:r>
          </w:p>
        </w:tc>
        <w:tc>
          <w:tcPr>
            <w:tcW w:type="dxa" w:w="3096"/>
            <w:shd w:fill="173A5E"/>
            <w:tcMar>
              <w:top w:w="70" w:type="dxa"/>
              <w:start w:w="70" w:type="dxa"/>
              <w:bottom w:w="70" w:type="dxa"/>
              <w:end w:w="70" w:type="dxa"/>
            </w:tcMar>
          </w:tcPr>
          <w:p>
            <w:pPr>
              <w:spacing w:after="0"/>
            </w:pPr>
            <w:r>
              <w:rPr>
                <w:rFonts w:ascii="Aptos" w:hAnsi="Aptos" w:eastAsia="Aptos"/>
                <w:b/>
                <w:color w:val="FFFFFF"/>
                <w:sz w:val="15"/>
              </w:rPr>
              <w:t>Business-Case Implication</w:t>
            </w:r>
          </w:p>
        </w:tc>
        <w:tc>
          <w:tcPr>
            <w:tcW w:type="dxa" w:w="3024"/>
            <w:shd w:fill="173A5E"/>
            <w:tcMar>
              <w:top w:w="70" w:type="dxa"/>
              <w:start w:w="70" w:type="dxa"/>
              <w:bottom w:w="70" w:type="dxa"/>
              <w:end w:w="70" w:type="dxa"/>
            </w:tcMar>
          </w:tcPr>
          <w:p>
            <w:pPr>
              <w:spacing w:after="0"/>
            </w:pPr>
            <w:r>
              <w:rPr>
                <w:rFonts w:ascii="Aptos" w:hAnsi="Aptos" w:eastAsia="Aptos"/>
                <w:b/>
                <w:color w:val="FFFFFF"/>
                <w:sz w:val="15"/>
              </w:rPr>
              <w:t>Required Response</w:t>
            </w:r>
          </w:p>
        </w:tc>
      </w:tr>
      <w:tr>
        <w:trPr>
          <w:cantSplit/>
        </w:trPr>
        <w:tc>
          <w:tcPr>
            <w:tcW w:type="dxa" w:w="1440"/>
            <w:tcMar>
              <w:top w:w="65" w:type="dxa"/>
              <w:start w:w="70" w:type="dxa"/>
              <w:bottom w:w="65" w:type="dxa"/>
              <w:end w:w="70" w:type="dxa"/>
            </w:tcMar>
            <w:vAlign w:val="top"/>
          </w:tcPr>
          <w:p>
            <w:pPr>
              <w:spacing w:after="0" w:line="240" w:lineRule="auto"/>
            </w:pPr>
            <w:r>
              <w:rPr>
                <w:rFonts w:ascii="Aptos" w:hAnsi="Aptos" w:eastAsia="Aptos"/>
                <w:b w:val="0"/>
                <w:color w:val="1F2933"/>
                <w:sz w:val="15"/>
              </w:rPr>
              <w:t>Governance risk</w:t>
            </w:r>
          </w:p>
        </w:tc>
        <w:tc>
          <w:tcPr>
            <w:tcW w:type="dxa" w:w="2952"/>
            <w:tcMar>
              <w:top w:w="65" w:type="dxa"/>
              <w:start w:w="70" w:type="dxa"/>
              <w:bottom w:w="65" w:type="dxa"/>
              <w:end w:w="70" w:type="dxa"/>
            </w:tcMar>
            <w:vAlign w:val="top"/>
          </w:tcPr>
          <w:p>
            <w:pPr>
              <w:spacing w:after="0" w:line="240" w:lineRule="auto"/>
            </w:pPr>
            <w:r>
              <w:rPr>
                <w:rFonts w:ascii="Aptos" w:hAnsi="Aptos" w:eastAsia="Aptos"/>
                <w:b w:val="0"/>
                <w:color w:val="1F2933"/>
                <w:sz w:val="15"/>
              </w:rPr>
              <w:t>Overly heavy controls slow experimentation and encourage bypass.</w:t>
            </w:r>
          </w:p>
        </w:tc>
        <w:tc>
          <w:tcPr>
            <w:tcW w:type="dxa" w:w="3096"/>
            <w:tcMar>
              <w:top w:w="65" w:type="dxa"/>
              <w:start w:w="70" w:type="dxa"/>
              <w:bottom w:w="65" w:type="dxa"/>
              <w:end w:w="70" w:type="dxa"/>
            </w:tcMar>
            <w:vAlign w:val="top"/>
          </w:tcPr>
          <w:p>
            <w:pPr>
              <w:spacing w:after="0" w:line="240" w:lineRule="auto"/>
            </w:pPr>
            <w:r>
              <w:rPr>
                <w:rFonts w:ascii="Aptos" w:hAnsi="Aptos" w:eastAsia="Aptos"/>
                <w:b w:val="0"/>
                <w:color w:val="1F2933"/>
                <w:sz w:val="15"/>
              </w:rPr>
              <w:t>Could undermine adoption and reduce value.</w:t>
            </w:r>
          </w:p>
        </w:tc>
        <w:tc>
          <w:tcPr>
            <w:tcW w:type="dxa" w:w="3024"/>
            <w:tcMar>
              <w:top w:w="65" w:type="dxa"/>
              <w:start w:w="70" w:type="dxa"/>
              <w:bottom w:w="65" w:type="dxa"/>
              <w:end w:w="70" w:type="dxa"/>
            </w:tcMar>
            <w:vAlign w:val="top"/>
          </w:tcPr>
          <w:p>
            <w:pPr>
              <w:spacing w:after="0" w:line="240" w:lineRule="auto"/>
            </w:pPr>
            <w:r>
              <w:rPr>
                <w:rFonts w:ascii="Aptos" w:hAnsi="Aptos" w:eastAsia="Aptos"/>
                <w:b w:val="0"/>
                <w:color w:val="1F2933"/>
                <w:sz w:val="15"/>
              </w:rPr>
              <w:t>Use tiered gates, sandboxed experimentation, and existing-process integration.</w:t>
            </w:r>
          </w:p>
        </w:tc>
      </w:tr>
      <w:tr>
        <w:trPr>
          <w:cantSplit/>
        </w:trPr>
        <w:tc>
          <w:tcPr>
            <w:tcW w:type="dxa" w:w="144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Assumption risk</w:t>
            </w:r>
          </w:p>
        </w:tc>
        <w:tc>
          <w:tcPr>
            <w:tcW w:type="dxa" w:w="29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Human authority, PondGPT access boundaries, product safety role, vendor data use, and jurisdictions remain partly open.</w:t>
            </w:r>
          </w:p>
        </w:tc>
        <w:tc>
          <w:tcPr>
            <w:tcW w:type="dxa" w:w="309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Could materially change legal, risk, and release conclusions.</w:t>
            </w:r>
          </w:p>
        </w:tc>
        <w:tc>
          <w:tcPr>
            <w:tcW w:type="dxa" w:w="302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Validate critical assumptions before production approvals.</w:t>
            </w:r>
          </w:p>
        </w:tc>
      </w:tr>
      <w:tr>
        <w:trPr>
          <w:cantSplit/>
        </w:trPr>
        <w:tc>
          <w:tcPr>
            <w:tcW w:type="dxa" w:w="1440"/>
            <w:tcMar>
              <w:top w:w="65" w:type="dxa"/>
              <w:start w:w="70" w:type="dxa"/>
              <w:bottom w:w="65" w:type="dxa"/>
              <w:end w:w="70" w:type="dxa"/>
            </w:tcMar>
            <w:vAlign w:val="top"/>
          </w:tcPr>
          <w:p>
            <w:pPr>
              <w:spacing w:after="0" w:line="240" w:lineRule="auto"/>
            </w:pPr>
            <w:r>
              <w:rPr>
                <w:rFonts w:ascii="Aptos" w:hAnsi="Aptos" w:eastAsia="Aptos"/>
                <w:b w:val="0"/>
                <w:color w:val="1F2933"/>
                <w:sz w:val="15"/>
              </w:rPr>
              <w:t>Evidence risk</w:t>
            </w:r>
          </w:p>
        </w:tc>
        <w:tc>
          <w:tcPr>
            <w:tcW w:type="dxa" w:w="2952"/>
            <w:tcMar>
              <w:top w:w="65" w:type="dxa"/>
              <w:start w:w="70" w:type="dxa"/>
              <w:bottom w:w="65" w:type="dxa"/>
              <w:end w:w="70" w:type="dxa"/>
            </w:tcMar>
            <w:vAlign w:val="top"/>
          </w:tcPr>
          <w:p>
            <w:pPr>
              <w:spacing w:after="0" w:line="240" w:lineRule="auto"/>
            </w:pPr>
            <w:r>
              <w:rPr>
                <w:rFonts w:ascii="Aptos" w:hAnsi="Aptos" w:eastAsia="Aptos"/>
                <w:b w:val="0"/>
                <w:color w:val="1F2933"/>
                <w:sz w:val="15"/>
              </w:rPr>
              <w:t>Current controls may exist but evidence quality is inconsistent.</w:t>
            </w:r>
          </w:p>
        </w:tc>
        <w:tc>
          <w:tcPr>
            <w:tcW w:type="dxa" w:w="3096"/>
            <w:tcMar>
              <w:top w:w="65" w:type="dxa"/>
              <w:start w:w="70" w:type="dxa"/>
              <w:bottom w:w="65" w:type="dxa"/>
              <w:end w:w="70" w:type="dxa"/>
            </w:tcMar>
            <w:vAlign w:val="top"/>
          </w:tcPr>
          <w:p>
            <w:pPr>
              <w:spacing w:after="0" w:line="240" w:lineRule="auto"/>
            </w:pPr>
            <w:r>
              <w:rPr>
                <w:rFonts w:ascii="Aptos" w:hAnsi="Aptos" w:eastAsia="Aptos"/>
                <w:b w:val="0"/>
                <w:color w:val="1F2933"/>
                <w:sz w:val="15"/>
              </w:rPr>
              <w:t>Could create false assurance and weak auditability.</w:t>
            </w:r>
          </w:p>
        </w:tc>
        <w:tc>
          <w:tcPr>
            <w:tcW w:type="dxa" w:w="3024"/>
            <w:tcMar>
              <w:top w:w="65" w:type="dxa"/>
              <w:start w:w="70" w:type="dxa"/>
              <w:bottom w:w="65" w:type="dxa"/>
              <w:end w:w="70" w:type="dxa"/>
            </w:tcMar>
            <w:vAlign w:val="top"/>
          </w:tcPr>
          <w:p>
            <w:pPr>
              <w:spacing w:after="0" w:line="240" w:lineRule="auto"/>
            </w:pPr>
            <w:r>
              <w:rPr>
                <w:rFonts w:ascii="Aptos" w:hAnsi="Aptos" w:eastAsia="Aptos"/>
                <w:b w:val="0"/>
                <w:color w:val="1F2933"/>
                <w:sz w:val="15"/>
              </w:rPr>
              <w:t>No control credit without evidence; define owners and evidence retention.</w:t>
            </w:r>
          </w:p>
        </w:tc>
      </w:tr>
      <w:tr>
        <w:trPr>
          <w:cantSplit/>
        </w:trPr>
        <w:tc>
          <w:tcPr>
            <w:tcW w:type="dxa" w:w="144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Capability risk</w:t>
            </w:r>
          </w:p>
        </w:tc>
        <w:tc>
          <w:tcPr>
            <w:tcW w:type="dxa" w:w="29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Specialist teams may lack capacity to review every AI use case.</w:t>
            </w:r>
          </w:p>
        </w:tc>
        <w:tc>
          <w:tcPr>
            <w:tcW w:type="dxa" w:w="309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Could create bottlenecks.</w:t>
            </w:r>
          </w:p>
        </w:tc>
        <w:tc>
          <w:tcPr>
            <w:tcW w:type="dxa" w:w="302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Use proportionality, clear triage, reusable control patterns and delegated low-risk approval.</w:t>
            </w:r>
          </w:p>
        </w:tc>
      </w:tr>
      <w:tr>
        <w:trPr>
          <w:cantSplit/>
        </w:trPr>
        <w:tc>
          <w:tcPr>
            <w:tcW w:type="dxa" w:w="1440"/>
            <w:tcMar>
              <w:top w:w="65" w:type="dxa"/>
              <w:start w:w="70" w:type="dxa"/>
              <w:bottom w:w="65" w:type="dxa"/>
              <w:end w:w="70" w:type="dxa"/>
            </w:tcMar>
            <w:vAlign w:val="top"/>
          </w:tcPr>
          <w:p>
            <w:pPr>
              <w:spacing w:after="0" w:line="240" w:lineRule="auto"/>
            </w:pPr>
            <w:r>
              <w:rPr>
                <w:rFonts w:ascii="Aptos" w:hAnsi="Aptos" w:eastAsia="Aptos"/>
                <w:b w:val="0"/>
                <w:color w:val="1F2933"/>
                <w:sz w:val="15"/>
              </w:rPr>
              <w:t>Third-party risk</w:t>
            </w:r>
          </w:p>
        </w:tc>
        <w:tc>
          <w:tcPr>
            <w:tcW w:type="dxa" w:w="2952"/>
            <w:tcMar>
              <w:top w:w="65" w:type="dxa"/>
              <w:start w:w="70" w:type="dxa"/>
              <w:bottom w:w="65" w:type="dxa"/>
              <w:end w:w="70" w:type="dxa"/>
            </w:tcMar>
            <w:vAlign w:val="top"/>
          </w:tcPr>
          <w:p>
            <w:pPr>
              <w:spacing w:after="0" w:line="240" w:lineRule="auto"/>
            </w:pPr>
            <w:r>
              <w:rPr>
                <w:rFonts w:ascii="Aptos" w:hAnsi="Aptos" w:eastAsia="Aptos"/>
                <w:b w:val="0"/>
                <w:color w:val="1F2933"/>
                <w:sz w:val="15"/>
              </w:rPr>
              <w:t>Models/services can change, retain data, use subprocessors, or create exit dependencies.</w:t>
            </w:r>
          </w:p>
        </w:tc>
        <w:tc>
          <w:tcPr>
            <w:tcW w:type="dxa" w:w="3096"/>
            <w:tcMar>
              <w:top w:w="65" w:type="dxa"/>
              <w:start w:w="70" w:type="dxa"/>
              <w:bottom w:w="65" w:type="dxa"/>
              <w:end w:w="70" w:type="dxa"/>
            </w:tcMar>
            <w:vAlign w:val="top"/>
          </w:tcPr>
          <w:p>
            <w:pPr>
              <w:spacing w:after="0" w:line="240" w:lineRule="auto"/>
            </w:pPr>
            <w:r>
              <w:rPr>
                <w:rFonts w:ascii="Aptos" w:hAnsi="Aptos" w:eastAsia="Aptos"/>
                <w:b w:val="0"/>
                <w:color w:val="1F2933"/>
                <w:sz w:val="15"/>
              </w:rPr>
              <w:t>Can invalidate prior assessments and increase lock-in/exposure.</w:t>
            </w:r>
          </w:p>
        </w:tc>
        <w:tc>
          <w:tcPr>
            <w:tcW w:type="dxa" w:w="3024"/>
            <w:tcMar>
              <w:top w:w="65" w:type="dxa"/>
              <w:start w:w="70" w:type="dxa"/>
              <w:bottom w:w="65" w:type="dxa"/>
              <w:end w:w="70" w:type="dxa"/>
            </w:tcMar>
            <w:vAlign w:val="top"/>
          </w:tcPr>
          <w:p>
            <w:pPr>
              <w:spacing w:after="0" w:line="240" w:lineRule="auto"/>
            </w:pPr>
            <w:r>
              <w:rPr>
                <w:rFonts w:ascii="Aptos" w:hAnsi="Aptos" w:eastAsia="Aptos"/>
                <w:b w:val="0"/>
                <w:color w:val="1F2933"/>
                <w:sz w:val="15"/>
              </w:rPr>
              <w:t>AI-specific due diligence, contractual controls, change notification and reassessment.</w:t>
            </w:r>
          </w:p>
        </w:tc>
      </w:tr>
      <w:tr>
        <w:trPr>
          <w:cantSplit/>
        </w:trPr>
        <w:tc>
          <w:tcPr>
            <w:tcW w:type="dxa" w:w="144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Legal uncertainty</w:t>
            </w:r>
          </w:p>
        </w:tc>
        <w:tc>
          <w:tcPr>
            <w:tcW w:type="dxa" w:w="29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Regulatory applicability is system-, role-, jurisdiction-, and intended-purpose-specific.</w:t>
            </w:r>
          </w:p>
        </w:tc>
        <w:tc>
          <w:tcPr>
            <w:tcW w:type="dxa" w:w="309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A governance rating cannot substitute for legal classification.</w:t>
            </w:r>
          </w:p>
        </w:tc>
        <w:tc>
          <w:tcPr>
            <w:tcW w:type="dxa" w:w="302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5"/>
              </w:rPr>
              <w:t>Maintain separate legal triage and specialist review; do not claim blanket compliance.</w:t>
            </w:r>
          </w:p>
        </w:tc>
      </w:tr>
      <w:tr>
        <w:trPr>
          <w:cantSplit/>
        </w:trPr>
        <w:tc>
          <w:tcPr>
            <w:tcW w:type="dxa" w:w="1440"/>
            <w:tcMar>
              <w:top w:w="65" w:type="dxa"/>
              <w:start w:w="70" w:type="dxa"/>
              <w:bottom w:w="65" w:type="dxa"/>
              <w:end w:w="70" w:type="dxa"/>
            </w:tcMar>
            <w:vAlign w:val="top"/>
          </w:tcPr>
          <w:p>
            <w:pPr>
              <w:spacing w:after="0" w:line="240" w:lineRule="auto"/>
            </w:pPr>
            <w:r>
              <w:rPr>
                <w:rFonts w:ascii="Aptos" w:hAnsi="Aptos" w:eastAsia="Aptos"/>
                <w:b w:val="0"/>
                <w:color w:val="1F2933"/>
                <w:sz w:val="15"/>
              </w:rPr>
              <w:t>Shadow AI</w:t>
            </w:r>
          </w:p>
        </w:tc>
        <w:tc>
          <w:tcPr>
            <w:tcW w:type="dxa" w:w="2952"/>
            <w:tcMar>
              <w:top w:w="65" w:type="dxa"/>
              <w:start w:w="70" w:type="dxa"/>
              <w:bottom w:w="65" w:type="dxa"/>
              <w:end w:w="70" w:type="dxa"/>
            </w:tcMar>
            <w:vAlign w:val="top"/>
          </w:tcPr>
          <w:p>
            <w:pPr>
              <w:spacing w:after="0" w:line="240" w:lineRule="auto"/>
            </w:pPr>
            <w:r>
              <w:rPr>
                <w:rFonts w:ascii="Aptos" w:hAnsi="Aptos" w:eastAsia="Aptos"/>
                <w:b w:val="0"/>
                <w:color w:val="1F2933"/>
                <w:sz w:val="15"/>
              </w:rPr>
              <w:t>Unregistered GenAI is a condition containing multiple unknown use cases.</w:t>
            </w:r>
          </w:p>
        </w:tc>
        <w:tc>
          <w:tcPr>
            <w:tcW w:type="dxa" w:w="3096"/>
            <w:tcMar>
              <w:top w:w="65" w:type="dxa"/>
              <w:start w:w="70" w:type="dxa"/>
              <w:bottom w:w="65" w:type="dxa"/>
              <w:end w:w="70" w:type="dxa"/>
            </w:tcMar>
            <w:vAlign w:val="top"/>
          </w:tcPr>
          <w:p>
            <w:pPr>
              <w:spacing w:after="0" w:line="240" w:lineRule="auto"/>
            </w:pPr>
            <w:r>
              <w:rPr>
                <w:rFonts w:ascii="Aptos" w:hAnsi="Aptos" w:eastAsia="Aptos"/>
                <w:b w:val="0"/>
                <w:color w:val="1F2933"/>
                <w:sz w:val="15"/>
              </w:rPr>
              <w:t>Enterprise exposure cannot be accurately assessed until use is discovered and decomposed.</w:t>
            </w:r>
          </w:p>
        </w:tc>
        <w:tc>
          <w:tcPr>
            <w:tcW w:type="dxa" w:w="3024"/>
            <w:tcMar>
              <w:top w:w="65" w:type="dxa"/>
              <w:start w:w="70" w:type="dxa"/>
              <w:bottom w:w="65" w:type="dxa"/>
              <w:end w:w="70" w:type="dxa"/>
            </w:tcMar>
            <w:vAlign w:val="top"/>
          </w:tcPr>
          <w:p>
            <w:pPr>
              <w:spacing w:after="0" w:line="240" w:lineRule="auto"/>
            </w:pPr>
            <w:r>
              <w:rPr>
                <w:rFonts w:ascii="Aptos" w:hAnsi="Aptos" w:eastAsia="Aptos"/>
                <w:b w:val="0"/>
                <w:color w:val="1F2933"/>
                <w:sz w:val="15"/>
              </w:rPr>
              <w:t>Contain sensitive uploads; discover, register, assess, approve or stop material uses.</w:t>
            </w:r>
          </w:p>
        </w:tc>
      </w:tr>
    </w:tbl>
    <w:p>
      <w:pPr>
        <w:keepNext/>
        <w:spacing w:before="200" w:after="100"/>
      </w:pPr>
      <w:r>
        <w:rPr>
          <w:rFonts w:ascii="Aptos" w:hAnsi="Aptos" w:eastAsia="Aptos"/>
          <w:b/>
          <w:color w:val="173A5E"/>
          <w:sz w:val="30"/>
        </w:rPr>
        <w:t>12. Implementation Approach</w:t>
      </w:r>
    </w:p>
    <w:p>
      <w:pPr>
        <w:spacing w:after="100" w:line="259" w:lineRule="auto"/>
      </w:pPr>
      <w:r>
        <w:rPr>
          <w:rFonts w:ascii="Aptos" w:hAnsi="Aptos" w:eastAsia="Aptos"/>
          <w:b w:val="0"/>
          <w:color w:val="1F2933"/>
          <w:sz w:val="20"/>
        </w:rPr>
        <w:t>Implementation should follow the project’s existing dependency logic rather than producing disconnected artifacts. A staged approach also allows Duckworks to protect current operations while building longer-term capability.</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13"/>
        <w:gridCol w:w="2613"/>
        <w:gridCol w:w="2613"/>
        <w:gridCol w:w="2613"/>
      </w:tblGrid>
      <w:tr>
        <w:trPr>
          <w:tblHeader w:val="true"/>
          <w:cantSplit/>
        </w:trPr>
        <w:tc>
          <w:tcPr>
            <w:tcW w:type="dxa" w:w="1800"/>
            <w:shd w:fill="173A5E"/>
            <w:tcMar>
              <w:top w:w="70" w:type="dxa"/>
              <w:start w:w="70" w:type="dxa"/>
              <w:bottom w:w="70" w:type="dxa"/>
              <w:end w:w="70" w:type="dxa"/>
            </w:tcMar>
          </w:tcPr>
          <w:p>
            <w:pPr>
              <w:spacing w:after="0"/>
            </w:pPr>
            <w:r>
              <w:rPr>
                <w:rFonts w:ascii="Aptos" w:hAnsi="Aptos" w:eastAsia="Aptos"/>
                <w:b/>
                <w:color w:val="FFFFFF"/>
                <w:sz w:val="16"/>
              </w:rPr>
              <w:t>Phase</w:t>
            </w:r>
          </w:p>
        </w:tc>
        <w:tc>
          <w:tcPr>
            <w:tcW w:type="dxa" w:w="2304"/>
            <w:shd w:fill="173A5E"/>
            <w:tcMar>
              <w:top w:w="70" w:type="dxa"/>
              <w:start w:w="70" w:type="dxa"/>
              <w:bottom w:w="70" w:type="dxa"/>
              <w:end w:w="70" w:type="dxa"/>
            </w:tcMar>
          </w:tcPr>
          <w:p>
            <w:pPr>
              <w:spacing w:after="0"/>
            </w:pPr>
            <w:r>
              <w:rPr>
                <w:rFonts w:ascii="Aptos" w:hAnsi="Aptos" w:eastAsia="Aptos"/>
                <w:b/>
                <w:color w:val="FFFFFF"/>
                <w:sz w:val="16"/>
              </w:rPr>
              <w:t>Primary Objective</w:t>
            </w:r>
          </w:p>
        </w:tc>
        <w:tc>
          <w:tcPr>
            <w:tcW w:type="dxa" w:w="4464"/>
            <w:shd w:fill="173A5E"/>
            <w:tcMar>
              <w:top w:w="70" w:type="dxa"/>
              <w:start w:w="70" w:type="dxa"/>
              <w:bottom w:w="70" w:type="dxa"/>
              <w:end w:w="70" w:type="dxa"/>
            </w:tcMar>
          </w:tcPr>
          <w:p>
            <w:pPr>
              <w:spacing w:after="0"/>
            </w:pPr>
            <w:r>
              <w:rPr>
                <w:rFonts w:ascii="Aptos" w:hAnsi="Aptos" w:eastAsia="Aptos"/>
                <w:b/>
                <w:color w:val="FFFFFF"/>
                <w:sz w:val="16"/>
              </w:rPr>
              <w:t>Key Actions</w:t>
            </w:r>
          </w:p>
        </w:tc>
        <w:tc>
          <w:tcPr>
            <w:tcW w:type="dxa" w:w="1944"/>
            <w:shd w:fill="173A5E"/>
            <w:tcMar>
              <w:top w:w="70" w:type="dxa"/>
              <w:start w:w="70" w:type="dxa"/>
              <w:bottom w:w="70" w:type="dxa"/>
              <w:end w:w="70" w:type="dxa"/>
            </w:tcMar>
          </w:tcPr>
          <w:p>
            <w:pPr>
              <w:spacing w:after="0"/>
            </w:pPr>
            <w:r>
              <w:rPr>
                <w:rFonts w:ascii="Aptos" w:hAnsi="Aptos" w:eastAsia="Aptos"/>
                <w:b/>
                <w:color w:val="FFFFFF"/>
                <w:sz w:val="16"/>
              </w:rPr>
              <w:t>Exit Condition</w:t>
            </w:r>
          </w:p>
        </w:tc>
      </w:tr>
      <w:tr>
        <w:trPr>
          <w:cantSplit/>
        </w:trPr>
        <w:tc>
          <w:tcPr>
            <w:tcW w:type="dxa" w:w="1800"/>
            <w:tcMar>
              <w:top w:w="65" w:type="dxa"/>
              <w:start w:w="70" w:type="dxa"/>
              <w:bottom w:w="65" w:type="dxa"/>
              <w:end w:w="70" w:type="dxa"/>
            </w:tcMar>
            <w:vAlign w:val="top"/>
          </w:tcPr>
          <w:p>
            <w:pPr>
              <w:spacing w:after="0" w:line="240" w:lineRule="auto"/>
            </w:pPr>
            <w:r>
              <w:rPr>
                <w:rFonts w:ascii="Aptos" w:hAnsi="Aptos" w:eastAsia="Aptos"/>
                <w:b w:val="0"/>
                <w:color w:val="1F2933"/>
                <w:sz w:val="16"/>
              </w:rPr>
              <w:t>Phase 1 — Stabilize and contain</w:t>
            </w:r>
          </w:p>
        </w:tc>
        <w:tc>
          <w:tcPr>
            <w:tcW w:type="dxa" w:w="2304"/>
            <w:tcMar>
              <w:top w:w="65" w:type="dxa"/>
              <w:start w:w="70" w:type="dxa"/>
              <w:bottom w:w="65" w:type="dxa"/>
              <w:end w:w="70" w:type="dxa"/>
            </w:tcMar>
            <w:vAlign w:val="top"/>
          </w:tcPr>
          <w:p>
            <w:pPr>
              <w:spacing w:after="0" w:line="240" w:lineRule="auto"/>
            </w:pPr>
            <w:r>
              <w:rPr>
                <w:rFonts w:ascii="Aptos" w:hAnsi="Aptos" w:eastAsia="Aptos"/>
                <w:b w:val="0"/>
                <w:color w:val="1F2933"/>
                <w:sz w:val="16"/>
              </w:rPr>
              <w:t>Reduce immediate unmanaged exposure.</w:t>
            </w:r>
          </w:p>
        </w:tc>
        <w:tc>
          <w:tcPr>
            <w:tcW w:type="dxa" w:w="4464"/>
            <w:tcMar>
              <w:top w:w="65" w:type="dxa"/>
              <w:start w:w="70" w:type="dxa"/>
              <w:bottom w:w="65" w:type="dxa"/>
              <w:end w:w="70" w:type="dxa"/>
            </w:tcMar>
            <w:vAlign w:val="top"/>
          </w:tcPr>
          <w:p>
            <w:pPr>
              <w:spacing w:after="0" w:line="240" w:lineRule="auto"/>
            </w:pPr>
            <w:r>
              <w:rPr>
                <w:rFonts w:ascii="Aptos" w:hAnsi="Aptos" w:eastAsia="Aptos"/>
                <w:b w:val="0"/>
                <w:color w:val="1F2933"/>
                <w:sz w:val="16"/>
              </w:rPr>
              <w:t>Enforce current release gates; contain shadow AI; confirm owners; validate critical assumptions; establish intake and committee decision routes.</w:t>
            </w:r>
          </w:p>
        </w:tc>
        <w:tc>
          <w:tcPr>
            <w:tcW w:type="dxa" w:w="1944"/>
            <w:tcMar>
              <w:top w:w="65" w:type="dxa"/>
              <w:start w:w="70" w:type="dxa"/>
              <w:bottom w:w="65" w:type="dxa"/>
              <w:end w:w="70" w:type="dxa"/>
            </w:tcMar>
            <w:vAlign w:val="top"/>
          </w:tcPr>
          <w:p>
            <w:pPr>
              <w:spacing w:after="0" w:line="240" w:lineRule="auto"/>
            </w:pPr>
            <w:r>
              <w:rPr>
                <w:rFonts w:ascii="Aptos" w:hAnsi="Aptos" w:eastAsia="Aptos"/>
                <w:b w:val="0"/>
                <w:color w:val="1F2933"/>
                <w:sz w:val="16"/>
              </w:rPr>
              <w:t>Critical unmanaged conditions have owners, actions, and approved containment.</w:t>
            </w:r>
          </w:p>
        </w:tc>
      </w:tr>
      <w:tr>
        <w:trPr>
          <w:cantSplit/>
        </w:trPr>
        <w:tc>
          <w:tcPr>
            <w:tcW w:type="dxa" w:w="180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Phase 2 — Build governance backbone</w:t>
            </w:r>
          </w:p>
        </w:tc>
        <w:tc>
          <w:tcPr>
            <w:tcW w:type="dxa" w:w="230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Create repeatable enterprise process.</w:t>
            </w:r>
          </w:p>
        </w:tc>
        <w:tc>
          <w:tcPr>
            <w:tcW w:type="dxa" w:w="446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Operating model, RACI, control library, acceptable use, third-party due diligence, human oversight, incident and monitoring standards.</w:t>
            </w:r>
          </w:p>
        </w:tc>
        <w:tc>
          <w:tcPr>
            <w:tcW w:type="dxa" w:w="194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Material AI can move through consistent lifecycle gates with evidence requirements.</w:t>
            </w:r>
          </w:p>
        </w:tc>
      </w:tr>
      <w:tr>
        <w:trPr>
          <w:cantSplit/>
        </w:trPr>
        <w:tc>
          <w:tcPr>
            <w:tcW w:type="dxa" w:w="1800"/>
            <w:tcMar>
              <w:top w:w="65" w:type="dxa"/>
              <w:start w:w="70" w:type="dxa"/>
              <w:bottom w:w="65" w:type="dxa"/>
              <w:end w:w="70" w:type="dxa"/>
            </w:tcMar>
            <w:vAlign w:val="top"/>
          </w:tcPr>
          <w:p>
            <w:pPr>
              <w:spacing w:after="0" w:line="240" w:lineRule="auto"/>
            </w:pPr>
            <w:r>
              <w:rPr>
                <w:rFonts w:ascii="Aptos" w:hAnsi="Aptos" w:eastAsia="Aptos"/>
                <w:b w:val="0"/>
                <w:color w:val="1F2933"/>
                <w:sz w:val="16"/>
              </w:rPr>
              <w:t>Phase 3 — Operationalize and measure</w:t>
            </w:r>
          </w:p>
        </w:tc>
        <w:tc>
          <w:tcPr>
            <w:tcW w:type="dxa" w:w="2304"/>
            <w:tcMar>
              <w:top w:w="65" w:type="dxa"/>
              <w:start w:w="70" w:type="dxa"/>
              <w:bottom w:w="65" w:type="dxa"/>
              <w:end w:w="70" w:type="dxa"/>
            </w:tcMar>
            <w:vAlign w:val="top"/>
          </w:tcPr>
          <w:p>
            <w:pPr>
              <w:spacing w:after="0" w:line="240" w:lineRule="auto"/>
            </w:pPr>
            <w:r>
              <w:rPr>
                <w:rFonts w:ascii="Aptos" w:hAnsi="Aptos" w:eastAsia="Aptos"/>
                <w:b w:val="0"/>
                <w:color w:val="1F2933"/>
                <w:sz w:val="16"/>
              </w:rPr>
              <w:t>Demonstrate operating effectiveness and value.</w:t>
            </w:r>
          </w:p>
        </w:tc>
        <w:tc>
          <w:tcPr>
            <w:tcW w:type="dxa" w:w="4464"/>
            <w:tcMar>
              <w:top w:w="65" w:type="dxa"/>
              <w:start w:w="70" w:type="dxa"/>
              <w:bottom w:w="65" w:type="dxa"/>
              <w:end w:w="70" w:type="dxa"/>
            </w:tcMar>
            <w:vAlign w:val="top"/>
          </w:tcPr>
          <w:p>
            <w:pPr>
              <w:spacing w:after="0" w:line="240" w:lineRule="auto"/>
            </w:pPr>
            <w:r>
              <w:rPr>
                <w:rFonts w:ascii="Aptos" w:hAnsi="Aptos" w:eastAsia="Aptos"/>
                <w:b w:val="0"/>
                <w:color w:val="1F2933"/>
                <w:sz w:val="16"/>
              </w:rPr>
              <w:t>Dashboarding, reassessment cadence, benefits baselines, KPI/KRI monitoring, evidence refresh, control testing preparation.</w:t>
            </w:r>
          </w:p>
        </w:tc>
        <w:tc>
          <w:tcPr>
            <w:tcW w:type="dxa" w:w="1944"/>
            <w:tcMar>
              <w:top w:w="65" w:type="dxa"/>
              <w:start w:w="70" w:type="dxa"/>
              <w:bottom w:w="65" w:type="dxa"/>
              <w:end w:w="70" w:type="dxa"/>
            </w:tcMar>
            <w:vAlign w:val="top"/>
          </w:tcPr>
          <w:p>
            <w:pPr>
              <w:spacing w:after="0" w:line="240" w:lineRule="auto"/>
            </w:pPr>
            <w:r>
              <w:rPr>
                <w:rFonts w:ascii="Aptos" w:hAnsi="Aptos" w:eastAsia="Aptos"/>
                <w:b w:val="0"/>
                <w:color w:val="1F2933"/>
                <w:sz w:val="16"/>
              </w:rPr>
              <w:t>Management can see value, risk, exceptions, overdue actions, and evidence status from one portfolio view.</w:t>
            </w:r>
          </w:p>
        </w:tc>
      </w:tr>
      <w:tr>
        <w:trPr>
          <w:cantSplit/>
        </w:trPr>
        <w:tc>
          <w:tcPr>
            <w:tcW w:type="dxa" w:w="180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Phase 4 — Assure and improve</w:t>
            </w:r>
          </w:p>
        </w:tc>
        <w:tc>
          <w:tcPr>
            <w:tcW w:type="dxa" w:w="230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Independently challenge the system.</w:t>
            </w:r>
          </w:p>
        </w:tc>
        <w:tc>
          <w:tcPr>
            <w:tcW w:type="dxa" w:w="446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Risk-based internal audit / assurance program; lessons learned; maturity improvements; roadmap refresh.</w:t>
            </w:r>
          </w:p>
        </w:tc>
        <w:tc>
          <w:tcPr>
            <w:tcW w:type="dxa" w:w="1944"/>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Independent assurance can assess design and operation without owning controls.</w:t>
            </w:r>
          </w:p>
        </w:tc>
      </w:tr>
    </w:tbl>
    <w:p>
      <w:pPr>
        <w:keepNext/>
        <w:spacing w:before="200" w:after="100"/>
      </w:pPr>
      <w:r>
        <w:rPr>
          <w:rFonts w:ascii="Aptos" w:hAnsi="Aptos" w:eastAsia="Aptos"/>
          <w:b/>
          <w:color w:val="173A5E"/>
          <w:sz w:val="30"/>
        </w:rPr>
        <w:t>13. Decision Requested</w:t>
      </w:r>
    </w:p>
    <w:p>
      <w:pPr>
        <w:spacing w:after="100" w:line="259" w:lineRule="auto"/>
      </w:pPr>
      <w:r>
        <w:rPr>
          <w:rFonts w:ascii="Aptos" w:hAnsi="Aptos" w:eastAsia="Aptos"/>
          <w:b/>
          <w:color w:val="173A5E"/>
          <w:sz w:val="20"/>
        </w:rPr>
        <w:t>Executive management should approve the following business-case decision:</w:t>
      </w:r>
    </w:p>
    <w:p>
      <w:pPr>
        <w:pStyle w:val="ListNumber"/>
        <w:spacing w:after="40"/>
      </w:pPr>
      <w:r>
        <w:rPr>
          <w:rFonts w:ascii="Aptos" w:hAnsi="Aptos" w:eastAsia="Aptos"/>
          <w:color w:val="1F2933"/>
          <w:sz w:val="20"/>
        </w:rPr>
        <w:t>Proceed with the enterprise risk-based AI governance option as the target operating model for Project W.I.N.G.</w:t>
      </w:r>
    </w:p>
    <w:p>
      <w:pPr>
        <w:pStyle w:val="ListNumber"/>
        <w:spacing w:after="40"/>
      </w:pPr>
      <w:r>
        <w:rPr>
          <w:rFonts w:ascii="Aptos" w:hAnsi="Aptos" w:eastAsia="Aptos"/>
          <w:color w:val="1F2933"/>
          <w:sz w:val="20"/>
        </w:rPr>
        <w:t>Authorize the next-phase governance deliverables and cross-functional participation required to implement the model.</w:t>
      </w:r>
    </w:p>
    <w:p>
      <w:pPr>
        <w:pStyle w:val="ListNumber"/>
        <w:spacing w:after="40"/>
      </w:pPr>
      <w:r>
        <w:rPr>
          <w:rFonts w:ascii="Aptos" w:hAnsi="Aptos" w:eastAsia="Aptos"/>
          <w:color w:val="1F2933"/>
          <w:sz w:val="20"/>
        </w:rPr>
        <w:t>Maintain the current system-specific release gates until stated acceptance conditions are evidenced and formally approved.</w:t>
      </w:r>
    </w:p>
    <w:p>
      <w:pPr>
        <w:pStyle w:val="ListNumber"/>
        <w:spacing w:after="40"/>
      </w:pPr>
      <w:r>
        <w:rPr>
          <w:rFonts w:ascii="Aptos" w:hAnsi="Aptos" w:eastAsia="Aptos"/>
          <w:color w:val="1F2933"/>
          <w:sz w:val="20"/>
        </w:rPr>
        <w:t>Treat DuckTalent AI and unregistered GenAI as priority risk-reduction items; do not describe either as cleared for unrestricted production.</w:t>
      </w:r>
    </w:p>
    <w:p>
      <w:pPr>
        <w:pStyle w:val="ListNumber"/>
        <w:spacing w:after="40"/>
      </w:pPr>
      <w:r>
        <w:rPr>
          <w:rFonts w:ascii="Aptos" w:hAnsi="Aptos" w:eastAsia="Aptos"/>
          <w:color w:val="1F2933"/>
          <w:sz w:val="20"/>
        </w:rPr>
        <w:t>Require critical assumptions to be validated before they are relied on for residual-risk, human-oversight, safety, or legal conclusions.</w:t>
      </w:r>
    </w:p>
    <w:p>
      <w:pPr>
        <w:pStyle w:val="ListNumber"/>
        <w:spacing w:after="40"/>
      </w:pPr>
      <w:r>
        <w:rPr>
          <w:rFonts w:ascii="Aptos" w:hAnsi="Aptos" w:eastAsia="Aptos"/>
          <w:color w:val="1F2933"/>
          <w:sz w:val="20"/>
        </w:rPr>
        <w:t>Establish business and governance measurement baselines before approving any quantified ROI claim.</w:t>
      </w:r>
    </w:p>
    <w:p>
      <w:pPr>
        <w:pStyle w:val="ListNumber"/>
        <w:spacing w:after="40"/>
      </w:pPr>
      <w:r>
        <w:rPr>
          <w:rFonts w:ascii="Aptos" w:hAnsi="Aptos" w:eastAsia="Aptos"/>
          <w:color w:val="1F2933"/>
          <w:sz w:val="20"/>
        </w:rPr>
        <w:t>Require quarterly executive review of critical residual risk, blocked systems, business value, major dependencies, and overdue remediation, with event-driven escalation for significant incidents or material changes.</w:t>
      </w:r>
    </w:p>
    <w:p>
      <w:pPr>
        <w:spacing w:after="20" w:before="0" w:line="120" w:lineRule="auto"/>
      </w:pPr>
    </w:p>
    <w:tbl>
      <w:tblPr>
        <w:tblW w:type="auto" w:w="0"/>
        <w:jc w:val="center"/>
        <w:tblLook w:firstColumn="1" w:firstRow="1" w:lastColumn="0" w:lastRow="0" w:noHBand="0" w:noVBand="1" w:val="04A0"/>
        <w:tblBorders>
          <w:top w:val="single" w:sz="8" w:space="0" w:color="173A5E"/>
          <w:left w:val="single" w:sz="8" w:space="0" w:color="173A5E"/>
          <w:bottom w:val="single" w:sz="8" w:space="0" w:color="173A5E"/>
          <w:right w:val="single" w:sz="8" w:space="0" w:color="173A5E"/>
          <w:insideH w:val="single" w:sz="8" w:space="0" w:color="173A5E"/>
          <w:insideV w:val="single" w:sz="8" w:space="0" w:color="173A5E"/>
        </w:tblBorders>
      </w:tblPr>
      <w:tblGrid>
        <w:gridCol w:w="10454"/>
      </w:tblGrid>
      <w:tr>
        <w:trPr>
          <w:cantSplit/>
        </w:trPr>
        <w:tc>
          <w:tcPr>
            <w:tcW w:type="dxa" w:w="10454"/>
            <w:shd w:fill="EAF0F6"/>
            <w:tcMar>
              <w:top w:w="100" w:type="dxa"/>
              <w:start w:w="120" w:type="dxa"/>
              <w:bottom w:w="100" w:type="dxa"/>
              <w:end w:w="120" w:type="dxa"/>
            </w:tcMar>
          </w:tcPr>
          <w:p>
            <w:pPr>
              <w:spacing w:after="60"/>
            </w:pPr>
            <w:r>
              <w:rPr>
                <w:rFonts w:ascii="Aptos" w:hAnsi="Aptos" w:eastAsia="Aptos"/>
                <w:b/>
                <w:color w:val="173A5E"/>
                <w:sz w:val="21"/>
              </w:rPr>
              <w:t>Recommended approval statement</w:t>
            </w:r>
          </w:p>
          <w:p>
            <w:pPr>
              <w:spacing w:after="0" w:line="252" w:lineRule="auto"/>
            </w:pPr>
            <w:r>
              <w:rPr>
                <w:rFonts w:ascii="Aptos" w:hAnsi="Aptos" w:eastAsia="Aptos"/>
                <w:b w:val="0"/>
                <w:color w:val="1F2933"/>
                <w:sz w:val="20"/>
              </w:rPr>
              <w:t>Approve Project W.I.N.G. AI governance implementation as an enabling business capability, subject to risk-proportionate controls, validated assumptions, system-specific legal and specialist review, evidence-based release gates, and benefits measurement. Approval of the governance business case does not constitute production approval of every AI system.</w:t>
            </w:r>
          </w:p>
        </w:tc>
      </w:tr>
    </w:tbl>
    <w:p>
      <w:pPr>
        <w:keepNext/>
        <w:spacing w:before="200" w:after="100"/>
      </w:pPr>
      <w:r>
        <w:rPr>
          <w:rFonts w:ascii="Aptos" w:hAnsi="Aptos" w:eastAsia="Aptos"/>
          <w:b/>
          <w:color w:val="173A5E"/>
          <w:sz w:val="30"/>
        </w:rPr>
        <w:t>14. Business Case Assumptions and Boundaries</w:t>
      </w:r>
    </w:p>
    <w:p>
      <w:pPr>
        <w:spacing w:after="100" w:line="259" w:lineRule="auto"/>
      </w:pPr>
      <w:r>
        <w:rPr>
          <w:rFonts w:ascii="Aptos" w:hAnsi="Aptos" w:eastAsia="Aptos"/>
          <w:b w:val="0"/>
          <w:color w:val="1F2933"/>
          <w:sz w:val="20"/>
        </w:rPr>
        <w:t>The following boundaries are essential to keep the business case defensible:</w:t>
      </w:r>
    </w:p>
    <w:p>
      <w:pPr>
        <w:pStyle w:val="ListBullet"/>
        <w:spacing w:after="40" w:line="252" w:lineRule="auto"/>
        <w:ind w:left="360" w:hanging="216"/>
      </w:pPr>
      <w:r>
        <w:rPr>
          <w:rFonts w:ascii="Aptos" w:hAnsi="Aptos" w:eastAsia="Aptos"/>
          <w:color w:val="1F2933"/>
          <w:sz w:val="20"/>
        </w:rPr>
        <w:t>Duckworks, all personnel, systems, data, decisions, and business circumstances are fictional.</w:t>
      </w:r>
    </w:p>
    <w:p>
      <w:pPr>
        <w:pStyle w:val="ListBullet"/>
        <w:spacing w:after="40" w:line="252" w:lineRule="auto"/>
        <w:ind w:left="360" w:hanging="216"/>
      </w:pPr>
      <w:r>
        <w:rPr>
          <w:rFonts w:ascii="Aptos" w:hAnsi="Aptos" w:eastAsia="Aptos"/>
          <w:color w:val="1F2933"/>
          <w:sz w:val="20"/>
        </w:rPr>
        <w:t>Only fictional, synthetic, anonymized, or public data are used in the portfolio.</w:t>
      </w:r>
    </w:p>
    <w:p>
      <w:pPr>
        <w:pStyle w:val="ListBullet"/>
        <w:spacing w:after="40" w:line="252" w:lineRule="auto"/>
        <w:ind w:left="360" w:hanging="216"/>
      </w:pPr>
      <w:r>
        <w:rPr>
          <w:rFonts w:ascii="Aptos" w:hAnsi="Aptos" w:eastAsia="Aptos"/>
          <w:color w:val="1F2933"/>
          <w:sz w:val="20"/>
        </w:rPr>
        <w:t>The business case relies on the current Duckworks project source set; it does not introduce real vendor due diligence, production legal opinions, certification claims, or conformity assessments.</w:t>
      </w:r>
    </w:p>
    <w:p>
      <w:pPr>
        <w:pStyle w:val="ListBullet"/>
        <w:spacing w:after="40" w:line="252" w:lineRule="auto"/>
        <w:ind w:left="360" w:hanging="216"/>
      </w:pPr>
      <w:r>
        <w:rPr>
          <w:rFonts w:ascii="Aptos" w:hAnsi="Aptos" w:eastAsia="Aptos"/>
          <w:color w:val="1F2933"/>
          <w:sz w:val="20"/>
        </w:rPr>
        <w:t>External laws and regulatory obligations must be confirmed per system based on intended purpose, legal role, geography, affected persons, and implementation details.</w:t>
      </w:r>
    </w:p>
    <w:p>
      <w:pPr>
        <w:pStyle w:val="ListBullet"/>
        <w:spacing w:after="40" w:line="252" w:lineRule="auto"/>
        <w:ind w:left="360" w:hanging="216"/>
      </w:pPr>
      <w:r>
        <w:rPr>
          <w:rFonts w:ascii="Aptos" w:hAnsi="Aptos" w:eastAsia="Aptos"/>
          <w:color w:val="1F2933"/>
          <w:sz w:val="20"/>
        </w:rPr>
        <w:t>ISO, NIST, ENISA, MITRE, OWASP, and similar sources are governance, risk, or technical references and do not independently establish legal compliance or certification.</w:t>
      </w:r>
    </w:p>
    <w:p>
      <w:pPr>
        <w:pStyle w:val="ListBullet"/>
        <w:spacing w:after="40" w:line="252" w:lineRule="auto"/>
        <w:ind w:left="360" w:hanging="216"/>
      </w:pPr>
      <w:r>
        <w:rPr>
          <w:rFonts w:ascii="Aptos" w:hAnsi="Aptos" w:eastAsia="Aptos"/>
          <w:color w:val="1F2933"/>
          <w:sz w:val="20"/>
        </w:rPr>
        <w:t>Duckworks internal High/Critical risk ratings are enterprise risk-management outcomes and are separate from statutory terms such as an EU AI Act “high-risk AI system.”</w:t>
      </w:r>
    </w:p>
    <w:p>
      <w:pPr>
        <w:pStyle w:val="ListBullet"/>
        <w:spacing w:after="40" w:line="252" w:lineRule="auto"/>
        <w:ind w:left="360" w:hanging="216"/>
      </w:pPr>
      <w:r>
        <w:rPr>
          <w:rFonts w:ascii="Aptos" w:hAnsi="Aptos" w:eastAsia="Aptos"/>
          <w:color w:val="1F2933"/>
          <w:sz w:val="20"/>
        </w:rPr>
        <w:t>Financial values are not quantified because the evidence set does not provide validated cost or benefit baselines.</w:t>
      </w:r>
    </w:p>
    <w:p>
      <w:pPr>
        <w:keepNext/>
        <w:spacing w:before="200" w:after="100"/>
      </w:pPr>
      <w:r>
        <w:rPr>
          <w:rFonts w:ascii="Aptos" w:hAnsi="Aptos" w:eastAsia="Aptos"/>
          <w:b/>
          <w:color w:val="173A5E"/>
          <w:sz w:val="30"/>
        </w:rPr>
        <w:t>Appendix A — Current System Governance Gates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13"/>
        <w:gridCol w:w="2613"/>
        <w:gridCol w:w="2613"/>
        <w:gridCol w:w="2613"/>
      </w:tblGrid>
      <w:tr>
        <w:trPr>
          <w:tblHeader w:val="true"/>
          <w:cantSplit/>
        </w:trPr>
        <w:tc>
          <w:tcPr>
            <w:tcW w:type="dxa" w:w="792"/>
            <w:shd w:fill="173A5E"/>
            <w:tcMar>
              <w:top w:w="70" w:type="dxa"/>
              <w:start w:w="70" w:type="dxa"/>
              <w:bottom w:w="70" w:type="dxa"/>
              <w:end w:w="70" w:type="dxa"/>
            </w:tcMar>
          </w:tcPr>
          <w:p>
            <w:pPr>
              <w:spacing w:after="0"/>
            </w:pPr>
            <w:r>
              <w:rPr>
                <w:rFonts w:ascii="Aptos" w:hAnsi="Aptos" w:eastAsia="Aptos"/>
                <w:b/>
                <w:color w:val="FFFFFF"/>
                <w:sz w:val="16"/>
              </w:rPr>
              <w:t>ID</w:t>
            </w:r>
          </w:p>
        </w:tc>
        <w:tc>
          <w:tcPr>
            <w:tcW w:type="dxa" w:w="1728"/>
            <w:shd w:fill="173A5E"/>
            <w:tcMar>
              <w:top w:w="70" w:type="dxa"/>
              <w:start w:w="70" w:type="dxa"/>
              <w:bottom w:w="70" w:type="dxa"/>
              <w:end w:w="70" w:type="dxa"/>
            </w:tcMar>
          </w:tcPr>
          <w:p>
            <w:pPr>
              <w:spacing w:after="0"/>
            </w:pPr>
            <w:r>
              <w:rPr>
                <w:rFonts w:ascii="Aptos" w:hAnsi="Aptos" w:eastAsia="Aptos"/>
                <w:b/>
                <w:color w:val="FFFFFF"/>
                <w:sz w:val="16"/>
              </w:rPr>
              <w:t>System</w:t>
            </w:r>
          </w:p>
        </w:tc>
        <w:tc>
          <w:tcPr>
            <w:tcW w:type="dxa" w:w="2448"/>
            <w:shd w:fill="173A5E"/>
            <w:tcMar>
              <w:top w:w="70" w:type="dxa"/>
              <w:start w:w="70" w:type="dxa"/>
              <w:bottom w:w="70" w:type="dxa"/>
              <w:end w:w="70" w:type="dxa"/>
            </w:tcMar>
          </w:tcPr>
          <w:p>
            <w:pPr>
              <w:spacing w:after="0"/>
            </w:pPr>
            <w:r>
              <w:rPr>
                <w:rFonts w:ascii="Aptos" w:hAnsi="Aptos" w:eastAsia="Aptos"/>
                <w:b/>
                <w:color w:val="FFFFFF"/>
                <w:sz w:val="16"/>
              </w:rPr>
              <w:t>Current Gate</w:t>
            </w:r>
          </w:p>
        </w:tc>
        <w:tc>
          <w:tcPr>
            <w:tcW w:type="dxa" w:w="5400"/>
            <w:shd w:fill="173A5E"/>
            <w:tcMar>
              <w:top w:w="70" w:type="dxa"/>
              <w:start w:w="70" w:type="dxa"/>
              <w:bottom w:w="70" w:type="dxa"/>
              <w:end w:w="70" w:type="dxa"/>
            </w:tcMar>
          </w:tcPr>
          <w:p>
            <w:pPr>
              <w:spacing w:after="0"/>
            </w:pPr>
            <w:r>
              <w:rPr>
                <w:rFonts w:ascii="Aptos" w:hAnsi="Aptos" w:eastAsia="Aptos"/>
                <w:b/>
                <w:color w:val="FFFFFF"/>
                <w:sz w:val="16"/>
              </w:rPr>
              <w:t>Minimum Acceptance Direction</w:t>
            </w:r>
          </w:p>
        </w:tc>
      </w:tr>
      <w:tr>
        <w:trPr>
          <w:cantSplit/>
        </w:trPr>
        <w:tc>
          <w:tcPr>
            <w:tcW w:type="dxa" w:w="792"/>
            <w:tcMar>
              <w:top w:w="65" w:type="dxa"/>
              <w:start w:w="70" w:type="dxa"/>
              <w:bottom w:w="65" w:type="dxa"/>
              <w:end w:w="70" w:type="dxa"/>
            </w:tcMar>
            <w:vAlign w:val="top"/>
          </w:tcPr>
          <w:p>
            <w:pPr>
              <w:spacing w:after="0" w:line="240" w:lineRule="auto"/>
            </w:pPr>
            <w:r>
              <w:rPr>
                <w:rFonts w:ascii="Aptos" w:hAnsi="Aptos" w:eastAsia="Aptos"/>
                <w:b w:val="0"/>
                <w:color w:val="1F2933"/>
                <w:sz w:val="16"/>
              </w:rPr>
              <w:t>AI-001</w:t>
            </w:r>
          </w:p>
        </w:tc>
        <w:tc>
          <w:tcPr>
            <w:tcW w:type="dxa" w:w="1728"/>
            <w:tcMar>
              <w:top w:w="65" w:type="dxa"/>
              <w:start w:w="70" w:type="dxa"/>
              <w:bottom w:w="65" w:type="dxa"/>
              <w:end w:w="70" w:type="dxa"/>
            </w:tcMar>
            <w:vAlign w:val="top"/>
          </w:tcPr>
          <w:p>
            <w:pPr>
              <w:spacing w:after="0" w:line="240" w:lineRule="auto"/>
            </w:pPr>
            <w:r>
              <w:rPr>
                <w:rFonts w:ascii="Aptos" w:hAnsi="Aptos" w:eastAsia="Aptos"/>
                <w:b w:val="0"/>
                <w:color w:val="1F2933"/>
                <w:sz w:val="16"/>
              </w:rPr>
              <w:t>DuckDesign AI</w:t>
            </w:r>
          </w:p>
        </w:tc>
        <w:tc>
          <w:tcPr>
            <w:tcW w:type="dxa" w:w="2448"/>
            <w:tcMar>
              <w:top w:w="65" w:type="dxa"/>
              <w:start w:w="70" w:type="dxa"/>
              <w:bottom w:w="65" w:type="dxa"/>
              <w:end w:w="70" w:type="dxa"/>
            </w:tcMar>
            <w:vAlign w:val="top"/>
          </w:tcPr>
          <w:p>
            <w:pPr>
              <w:spacing w:after="0" w:line="240" w:lineRule="auto"/>
            </w:pPr>
            <w:r>
              <w:rPr>
                <w:rFonts w:ascii="Aptos" w:hAnsi="Aptos" w:eastAsia="Aptos"/>
                <w:b w:val="0"/>
                <w:color w:val="1F2933"/>
                <w:sz w:val="16"/>
              </w:rPr>
              <w:t>Restricted pilot only</w:t>
            </w:r>
          </w:p>
        </w:tc>
        <w:tc>
          <w:tcPr>
            <w:tcW w:type="dxa" w:w="5400"/>
            <w:tcMar>
              <w:top w:w="65" w:type="dxa"/>
              <w:start w:w="70" w:type="dxa"/>
              <w:bottom w:w="65" w:type="dxa"/>
              <w:end w:w="70" w:type="dxa"/>
            </w:tcMar>
            <w:vAlign w:val="top"/>
          </w:tcPr>
          <w:p>
            <w:pPr>
              <w:spacing w:after="0" w:line="240" w:lineRule="auto"/>
            </w:pPr>
            <w:r>
              <w:rPr>
                <w:rFonts w:ascii="Aptos" w:hAnsi="Aptos" w:eastAsia="Aptos"/>
                <w:b w:val="0"/>
                <w:color w:val="1F2933"/>
                <w:sz w:val="16"/>
              </w:rPr>
              <w:t>Competent engineer review; design validation; IP/data controls; no autonomous release to production design.</w:t>
            </w:r>
          </w:p>
        </w:tc>
      </w:tr>
      <w:tr>
        <w:trPr>
          <w:cantSplit/>
        </w:trPr>
        <w:tc>
          <w:tcPr>
            <w:tcW w:type="dxa" w:w="79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AI-002</w:t>
            </w:r>
          </w:p>
        </w:tc>
        <w:tc>
          <w:tcPr>
            <w:tcW w:type="dxa" w:w="172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QuackBot</w:t>
            </w:r>
          </w:p>
        </w:tc>
        <w:tc>
          <w:tcPr>
            <w:tcW w:type="dxa" w:w="244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Production blocked pending gates</w:t>
            </w:r>
          </w:p>
        </w:tc>
        <w:tc>
          <w:tcPr>
            <w:tcW w:type="dxa" w:w="540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Prompt/RAG security testing; safe escalation; content boundaries; monitoring; customer-impact safeguards.</w:t>
            </w:r>
          </w:p>
        </w:tc>
      </w:tr>
      <w:tr>
        <w:trPr>
          <w:cantSplit/>
        </w:trPr>
        <w:tc>
          <w:tcPr>
            <w:tcW w:type="dxa" w:w="792"/>
            <w:tcMar>
              <w:top w:w="65" w:type="dxa"/>
              <w:start w:w="70" w:type="dxa"/>
              <w:bottom w:w="65" w:type="dxa"/>
              <w:end w:w="70" w:type="dxa"/>
            </w:tcMar>
            <w:vAlign w:val="top"/>
          </w:tcPr>
          <w:p>
            <w:pPr>
              <w:spacing w:after="0" w:line="240" w:lineRule="auto"/>
            </w:pPr>
            <w:r>
              <w:rPr>
                <w:rFonts w:ascii="Aptos" w:hAnsi="Aptos" w:eastAsia="Aptos"/>
                <w:b w:val="0"/>
                <w:color w:val="1F2933"/>
                <w:sz w:val="16"/>
              </w:rPr>
              <w:t>AI-003</w:t>
            </w:r>
          </w:p>
        </w:tc>
        <w:tc>
          <w:tcPr>
            <w:tcW w:type="dxa" w:w="1728"/>
            <w:tcMar>
              <w:top w:w="65" w:type="dxa"/>
              <w:start w:w="70" w:type="dxa"/>
              <w:bottom w:w="65" w:type="dxa"/>
              <w:end w:w="70" w:type="dxa"/>
            </w:tcMar>
            <w:vAlign w:val="top"/>
          </w:tcPr>
          <w:p>
            <w:pPr>
              <w:spacing w:after="0" w:line="240" w:lineRule="auto"/>
            </w:pPr>
            <w:r>
              <w:rPr>
                <w:rFonts w:ascii="Aptos" w:hAnsi="Aptos" w:eastAsia="Aptos"/>
                <w:b w:val="0"/>
                <w:color w:val="1F2933"/>
                <w:sz w:val="16"/>
              </w:rPr>
              <w:t>FeatherForecast</w:t>
            </w:r>
          </w:p>
        </w:tc>
        <w:tc>
          <w:tcPr>
            <w:tcW w:type="dxa" w:w="2448"/>
            <w:tcMar>
              <w:top w:w="65" w:type="dxa"/>
              <w:start w:w="70" w:type="dxa"/>
              <w:bottom w:w="65" w:type="dxa"/>
              <w:end w:w="70" w:type="dxa"/>
            </w:tcMar>
            <w:vAlign w:val="top"/>
          </w:tcPr>
          <w:p>
            <w:pPr>
              <w:spacing w:after="0" w:line="240" w:lineRule="auto"/>
            </w:pPr>
            <w:r>
              <w:rPr>
                <w:rFonts w:ascii="Aptos" w:hAnsi="Aptos" w:eastAsia="Aptos"/>
                <w:b w:val="0"/>
                <w:color w:val="1F2933"/>
                <w:sz w:val="16"/>
              </w:rPr>
              <w:t>Continue with monitoring</w:t>
            </w:r>
          </w:p>
        </w:tc>
        <w:tc>
          <w:tcPr>
            <w:tcW w:type="dxa" w:w="5400"/>
            <w:tcMar>
              <w:top w:w="65" w:type="dxa"/>
              <w:start w:w="70" w:type="dxa"/>
              <w:bottom w:w="65" w:type="dxa"/>
              <w:end w:w="70" w:type="dxa"/>
            </w:tcMar>
            <w:vAlign w:val="top"/>
          </w:tcPr>
          <w:p>
            <w:pPr>
              <w:spacing w:after="0" w:line="240" w:lineRule="auto"/>
            </w:pPr>
            <w:r>
              <w:rPr>
                <w:rFonts w:ascii="Aptos" w:hAnsi="Aptos" w:eastAsia="Aptos"/>
                <w:b w:val="0"/>
                <w:color w:val="1F2933"/>
                <w:sz w:val="16"/>
              </w:rPr>
              <w:t>Manager approval for material commitments; drift/performance monitoring; data-quality controls.</w:t>
            </w:r>
          </w:p>
        </w:tc>
      </w:tr>
      <w:tr>
        <w:trPr>
          <w:cantSplit/>
        </w:trPr>
        <w:tc>
          <w:tcPr>
            <w:tcW w:type="dxa" w:w="79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AI-004</w:t>
            </w:r>
          </w:p>
        </w:tc>
        <w:tc>
          <w:tcPr>
            <w:tcW w:type="dxa" w:w="172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WingInspect Vision</w:t>
            </w:r>
          </w:p>
        </w:tc>
        <w:tc>
          <w:tcPr>
            <w:tcW w:type="dxa" w:w="244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Restricted pilot only</w:t>
            </w:r>
          </w:p>
        </w:tc>
        <w:tc>
          <w:tcPr>
            <w:tcW w:type="dxa" w:w="540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Human inspector final authority; false-negative testing; no unvalidated safety-critical reliance.</w:t>
            </w:r>
          </w:p>
        </w:tc>
      </w:tr>
      <w:tr>
        <w:trPr>
          <w:cantSplit/>
        </w:trPr>
        <w:tc>
          <w:tcPr>
            <w:tcW w:type="dxa" w:w="792"/>
            <w:tcMar>
              <w:top w:w="65" w:type="dxa"/>
              <w:start w:w="70" w:type="dxa"/>
              <w:bottom w:w="65" w:type="dxa"/>
              <w:end w:w="70" w:type="dxa"/>
            </w:tcMar>
            <w:vAlign w:val="top"/>
          </w:tcPr>
          <w:p>
            <w:pPr>
              <w:spacing w:after="0" w:line="240" w:lineRule="auto"/>
            </w:pPr>
            <w:r>
              <w:rPr>
                <w:rFonts w:ascii="Aptos" w:hAnsi="Aptos" w:eastAsia="Aptos"/>
                <w:b w:val="0"/>
                <w:color w:val="1F2933"/>
                <w:sz w:val="16"/>
              </w:rPr>
              <w:t>AI-005</w:t>
            </w:r>
          </w:p>
        </w:tc>
        <w:tc>
          <w:tcPr>
            <w:tcW w:type="dxa" w:w="1728"/>
            <w:tcMar>
              <w:top w:w="65" w:type="dxa"/>
              <w:start w:w="70" w:type="dxa"/>
              <w:bottom w:w="65" w:type="dxa"/>
              <w:end w:w="70" w:type="dxa"/>
            </w:tcMar>
            <w:vAlign w:val="top"/>
          </w:tcPr>
          <w:p>
            <w:pPr>
              <w:spacing w:after="0" w:line="240" w:lineRule="auto"/>
            </w:pPr>
            <w:r>
              <w:rPr>
                <w:rFonts w:ascii="Aptos" w:hAnsi="Aptos" w:eastAsia="Aptos"/>
                <w:b w:val="0"/>
                <w:color w:val="1F2933"/>
                <w:sz w:val="16"/>
              </w:rPr>
              <w:t>DuckTalent AI</w:t>
            </w:r>
          </w:p>
        </w:tc>
        <w:tc>
          <w:tcPr>
            <w:tcW w:type="dxa" w:w="2448"/>
            <w:tcMar>
              <w:top w:w="65" w:type="dxa"/>
              <w:start w:w="70" w:type="dxa"/>
              <w:bottom w:w="65" w:type="dxa"/>
              <w:end w:w="70" w:type="dxa"/>
            </w:tcMar>
            <w:vAlign w:val="top"/>
          </w:tcPr>
          <w:p>
            <w:pPr>
              <w:spacing w:after="0" w:line="240" w:lineRule="auto"/>
            </w:pPr>
            <w:r>
              <w:rPr>
                <w:rFonts w:ascii="Aptos" w:hAnsi="Aptos" w:eastAsia="Aptos"/>
                <w:b w:val="0"/>
                <w:color w:val="1F2933"/>
                <w:sz w:val="16"/>
              </w:rPr>
              <w:t>Do not deploy in current state</w:t>
            </w:r>
          </w:p>
        </w:tc>
        <w:tc>
          <w:tcPr>
            <w:tcW w:type="dxa" w:w="5400"/>
            <w:tcMar>
              <w:top w:w="65" w:type="dxa"/>
              <w:start w:w="70" w:type="dxa"/>
              <w:bottom w:w="65" w:type="dxa"/>
              <w:end w:w="70" w:type="dxa"/>
            </w:tcMar>
            <w:vAlign w:val="top"/>
          </w:tcPr>
          <w:p>
            <w:pPr>
              <w:spacing w:after="0" w:line="240" w:lineRule="auto"/>
            </w:pPr>
            <w:r>
              <w:rPr>
                <w:rFonts w:ascii="Aptos" w:hAnsi="Aptos" w:eastAsia="Aptos"/>
                <w:b w:val="0"/>
                <w:color w:val="1F2933"/>
                <w:sz w:val="16"/>
              </w:rPr>
              <w:t>Enhanced legal/privacy/fairness analysis; meaningful human review; bias testing; transparency/contestability; critical risk reduced.</w:t>
            </w:r>
          </w:p>
        </w:tc>
      </w:tr>
      <w:tr>
        <w:trPr>
          <w:cantSplit/>
        </w:trPr>
        <w:tc>
          <w:tcPr>
            <w:tcW w:type="dxa" w:w="79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AI-006</w:t>
            </w:r>
          </w:p>
        </w:tc>
        <w:tc>
          <w:tcPr>
            <w:tcW w:type="dxa" w:w="172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PondGPT</w:t>
            </w:r>
          </w:p>
        </w:tc>
        <w:tc>
          <w:tcPr>
            <w:tcW w:type="dxa" w:w="2448"/>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Restricted pilot only</w:t>
            </w:r>
          </w:p>
        </w:tc>
        <w:tc>
          <w:tcPr>
            <w:tcW w:type="dxa" w:w="5400"/>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Enterprise access enforcement; sensitive repository exclusions; prompt/RAG security; logging; acceptable-use controls.</w:t>
            </w:r>
          </w:p>
        </w:tc>
      </w:tr>
      <w:tr>
        <w:trPr>
          <w:cantSplit/>
        </w:trPr>
        <w:tc>
          <w:tcPr>
            <w:tcW w:type="dxa" w:w="792"/>
            <w:tcMar>
              <w:top w:w="65" w:type="dxa"/>
              <w:start w:w="70" w:type="dxa"/>
              <w:bottom w:w="65" w:type="dxa"/>
              <w:end w:w="70" w:type="dxa"/>
            </w:tcMar>
            <w:vAlign w:val="top"/>
          </w:tcPr>
          <w:p>
            <w:pPr>
              <w:spacing w:after="0" w:line="240" w:lineRule="auto"/>
            </w:pPr>
            <w:r>
              <w:rPr>
                <w:rFonts w:ascii="Aptos" w:hAnsi="Aptos" w:eastAsia="Aptos"/>
                <w:b w:val="0"/>
                <w:color w:val="1F2933"/>
                <w:sz w:val="16"/>
              </w:rPr>
              <w:t>AI-007</w:t>
            </w:r>
          </w:p>
        </w:tc>
        <w:tc>
          <w:tcPr>
            <w:tcW w:type="dxa" w:w="1728"/>
            <w:tcMar>
              <w:top w:w="65" w:type="dxa"/>
              <w:start w:w="70" w:type="dxa"/>
              <w:bottom w:w="65" w:type="dxa"/>
              <w:end w:w="70" w:type="dxa"/>
            </w:tcMar>
            <w:vAlign w:val="top"/>
          </w:tcPr>
          <w:p>
            <w:pPr>
              <w:spacing w:after="0" w:line="240" w:lineRule="auto"/>
            </w:pPr>
            <w:r>
              <w:rPr>
                <w:rFonts w:ascii="Aptos" w:hAnsi="Aptos" w:eastAsia="Aptos"/>
                <w:b w:val="0"/>
                <w:color w:val="1F2933"/>
                <w:sz w:val="16"/>
              </w:rPr>
              <w:t>Unregistered GenAI Usage</w:t>
            </w:r>
          </w:p>
        </w:tc>
        <w:tc>
          <w:tcPr>
            <w:tcW w:type="dxa" w:w="2448"/>
            <w:tcMar>
              <w:top w:w="65" w:type="dxa"/>
              <w:start w:w="70" w:type="dxa"/>
              <w:bottom w:w="65" w:type="dxa"/>
              <w:end w:w="70" w:type="dxa"/>
            </w:tcMar>
            <w:vAlign w:val="top"/>
          </w:tcPr>
          <w:p>
            <w:pPr>
              <w:spacing w:after="0" w:line="240" w:lineRule="auto"/>
            </w:pPr>
            <w:r>
              <w:rPr>
                <w:rFonts w:ascii="Aptos" w:hAnsi="Aptos" w:eastAsia="Aptos"/>
                <w:b w:val="0"/>
                <w:color w:val="1F2933"/>
                <w:sz w:val="16"/>
              </w:rPr>
              <w:t>Immediate containment</w:t>
            </w:r>
          </w:p>
        </w:tc>
        <w:tc>
          <w:tcPr>
            <w:tcW w:type="dxa" w:w="5400"/>
            <w:tcMar>
              <w:top w:w="65" w:type="dxa"/>
              <w:start w:w="70" w:type="dxa"/>
              <w:bottom w:w="65" w:type="dxa"/>
              <w:end w:w="70" w:type="dxa"/>
            </w:tcMar>
            <w:vAlign w:val="top"/>
          </w:tcPr>
          <w:p>
            <w:pPr>
              <w:spacing w:after="0" w:line="240" w:lineRule="auto"/>
            </w:pPr>
            <w:r>
              <w:rPr>
                <w:rFonts w:ascii="Aptos" w:hAnsi="Aptos" w:eastAsia="Aptos"/>
                <w:b w:val="0"/>
                <w:color w:val="1F2933"/>
                <w:sz w:val="16"/>
              </w:rPr>
              <w:t>Discover use cases; prevent sensitive uploads; approve tools; register material uses; investigate exposure.</w:t>
            </w:r>
          </w:p>
        </w:tc>
      </w:tr>
    </w:tbl>
    <w:p>
      <w:pPr>
        <w:keepNext/>
        <w:spacing w:before="200" w:after="100"/>
      </w:pPr>
      <w:r>
        <w:rPr>
          <w:rFonts w:ascii="Aptos" w:hAnsi="Aptos" w:eastAsia="Aptos"/>
          <w:b/>
          <w:color w:val="173A5E"/>
          <w:sz w:val="30"/>
        </w:rPr>
        <w:t>Appendix B — Project Source Basis</w:t>
      </w:r>
    </w:p>
    <w:p>
      <w:pPr>
        <w:spacing w:after="100" w:line="259" w:lineRule="auto"/>
      </w:pPr>
      <w:r>
        <w:rPr>
          <w:rFonts w:ascii="Aptos" w:hAnsi="Aptos" w:eastAsia="Aptos"/>
          <w:b w:val="0"/>
          <w:color w:val="1F2933"/>
          <w:sz w:val="20"/>
        </w:rPr>
        <w:t>This business case was drafted from the following Duckworks project artifacts. Where the sources do not provide quantitative values, this document explicitly marks those areas as TBD rather than inventing figures.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5227"/>
        <w:gridCol w:w="5227"/>
      </w:tblGrid>
      <w:tr>
        <w:trPr>
          <w:tblHeader w:val="true"/>
          <w:cantSplit/>
        </w:trPr>
        <w:tc>
          <w:tcPr>
            <w:tcW w:type="dxa" w:w="3816"/>
            <w:shd w:fill="173A5E"/>
            <w:tcMar>
              <w:top w:w="70" w:type="dxa"/>
              <w:start w:w="70" w:type="dxa"/>
              <w:bottom w:w="70" w:type="dxa"/>
              <w:end w:w="70" w:type="dxa"/>
            </w:tcMar>
          </w:tcPr>
          <w:p>
            <w:pPr>
              <w:spacing w:after="0"/>
            </w:pPr>
            <w:r>
              <w:rPr>
                <w:rFonts w:ascii="Aptos" w:hAnsi="Aptos" w:eastAsia="Aptos"/>
                <w:b/>
                <w:color w:val="FFFFFF"/>
                <w:sz w:val="16"/>
              </w:rPr>
              <w:t>Source Artifact</w:t>
            </w:r>
          </w:p>
        </w:tc>
        <w:tc>
          <w:tcPr>
            <w:tcW w:type="dxa" w:w="6552"/>
            <w:shd w:fill="173A5E"/>
            <w:tcMar>
              <w:top w:w="70" w:type="dxa"/>
              <w:start w:w="70" w:type="dxa"/>
              <w:bottom w:w="70" w:type="dxa"/>
              <w:end w:w="70" w:type="dxa"/>
            </w:tcMar>
          </w:tcPr>
          <w:p>
            <w:pPr>
              <w:spacing w:after="0"/>
            </w:pPr>
            <w:r>
              <w:rPr>
                <w:rFonts w:ascii="Aptos" w:hAnsi="Aptos" w:eastAsia="Aptos"/>
                <w:b/>
                <w:color w:val="FFFFFF"/>
                <w:sz w:val="16"/>
              </w:rPr>
              <w:t>Business-Case Use</w:t>
            </w:r>
          </w:p>
        </w:tc>
      </w:tr>
      <w:tr>
        <w:trPr>
          <w:cantSplit/>
        </w:trPr>
        <w:tc>
          <w:tcPr>
            <w:tcW w:type="dxa" w:w="3816"/>
            <w:tcMar>
              <w:top w:w="65" w:type="dxa"/>
              <w:start w:w="70" w:type="dxa"/>
              <w:bottom w:w="65" w:type="dxa"/>
              <w:end w:w="70" w:type="dxa"/>
            </w:tcMar>
            <w:vAlign w:val="top"/>
          </w:tcPr>
          <w:p>
            <w:pPr>
              <w:spacing w:after="0" w:line="240" w:lineRule="auto"/>
            </w:pPr>
            <w:r>
              <w:rPr>
                <w:rFonts w:ascii="Aptos" w:hAnsi="Aptos" w:eastAsia="Aptos"/>
                <w:b w:val="0"/>
                <w:color w:val="1F2933"/>
                <w:sz w:val="16"/>
              </w:rPr>
              <w:t>Duckworks AI Governance Project — Business Scenario</w:t>
            </w:r>
          </w:p>
        </w:tc>
        <w:tc>
          <w:tcPr>
            <w:tcW w:type="dxa" w:w="6552"/>
            <w:tcMar>
              <w:top w:w="65" w:type="dxa"/>
              <w:start w:w="70" w:type="dxa"/>
              <w:bottom w:w="65" w:type="dxa"/>
              <w:end w:w="70" w:type="dxa"/>
            </w:tcMar>
            <w:vAlign w:val="top"/>
          </w:tcPr>
          <w:p>
            <w:pPr>
              <w:spacing w:after="0" w:line="240" w:lineRule="auto"/>
            </w:pPr>
            <w:r>
              <w:rPr>
                <w:rFonts w:ascii="Aptos" w:hAnsi="Aptos" w:eastAsia="Aptos"/>
                <w:b w:val="0"/>
                <w:color w:val="1F2933"/>
                <w:sz w:val="16"/>
              </w:rPr>
              <w:t>Organization context, business drivers, seven AI use cases, governance problem, management challenge, governance mandate and desired future state.</w:t>
            </w:r>
          </w:p>
        </w:tc>
      </w:tr>
      <w:tr>
        <w:trPr>
          <w:cantSplit/>
        </w:trPr>
        <w:tc>
          <w:tcPr>
            <w:tcW w:type="dxa" w:w="381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Duckworks AI Governance Readiness Assessment — Executive Case Study</w:t>
            </w:r>
          </w:p>
        </w:tc>
        <w:tc>
          <w:tcPr>
            <w:tcW w:type="dxa" w:w="65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Business objectives, key findings, portfolio risk concentration and governance response.</w:t>
            </w:r>
          </w:p>
        </w:tc>
      </w:tr>
      <w:tr>
        <w:trPr>
          <w:cantSplit/>
        </w:trPr>
        <w:tc>
          <w:tcPr>
            <w:tcW w:type="dxa" w:w="3816"/>
            <w:tcMar>
              <w:top w:w="65" w:type="dxa"/>
              <w:start w:w="70" w:type="dxa"/>
              <w:bottom w:w="65" w:type="dxa"/>
              <w:end w:w="70" w:type="dxa"/>
            </w:tcMar>
            <w:vAlign w:val="top"/>
          </w:tcPr>
          <w:p>
            <w:pPr>
              <w:spacing w:after="0" w:line="240" w:lineRule="auto"/>
            </w:pPr>
            <w:r>
              <w:rPr>
                <w:rFonts w:ascii="Aptos" w:hAnsi="Aptos" w:eastAsia="Aptos"/>
                <w:b w:val="0"/>
                <w:color w:val="1F2933"/>
                <w:sz w:val="16"/>
              </w:rPr>
              <w:t>Duckworks AI Governance Project — Project Objectives</w:t>
            </w:r>
          </w:p>
        </w:tc>
        <w:tc>
          <w:tcPr>
            <w:tcW w:type="dxa" w:w="6552"/>
            <w:tcMar>
              <w:top w:w="65" w:type="dxa"/>
              <w:start w:w="70" w:type="dxa"/>
              <w:bottom w:w="65" w:type="dxa"/>
              <w:end w:w="70" w:type="dxa"/>
            </w:tcMar>
            <w:vAlign w:val="top"/>
          </w:tcPr>
          <w:p>
            <w:pPr>
              <w:spacing w:after="0" w:line="240" w:lineRule="auto"/>
            </w:pPr>
            <w:r>
              <w:rPr>
                <w:rFonts w:ascii="Aptos" w:hAnsi="Aptos" w:eastAsia="Aptos"/>
                <w:b w:val="0"/>
                <w:color w:val="1F2933"/>
                <w:sz w:val="16"/>
              </w:rPr>
              <w:t>Enterprise visibility, accountability, risk/impact assessment, control, monitoring, evidence, reporting and assurance objectives.</w:t>
            </w:r>
          </w:p>
        </w:tc>
      </w:tr>
      <w:tr>
        <w:trPr>
          <w:cantSplit/>
        </w:trPr>
        <w:tc>
          <w:tcPr>
            <w:tcW w:type="dxa" w:w="381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Duckworks AI Governance Project — In-Scope and Out-of-Scope Items</w:t>
            </w:r>
          </w:p>
        </w:tc>
        <w:tc>
          <w:tcPr>
            <w:tcW w:type="dxa" w:w="65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Project boundaries, technology neutrality, assurance limitations and future-scope items.</w:t>
            </w:r>
          </w:p>
        </w:tc>
      </w:tr>
      <w:tr>
        <w:trPr>
          <w:cantSplit/>
        </w:trPr>
        <w:tc>
          <w:tcPr>
            <w:tcW w:type="dxa" w:w="3816"/>
            <w:tcMar>
              <w:top w:w="65" w:type="dxa"/>
              <w:start w:w="70" w:type="dxa"/>
              <w:bottom w:w="65" w:type="dxa"/>
              <w:end w:w="70" w:type="dxa"/>
            </w:tcMar>
            <w:vAlign w:val="top"/>
          </w:tcPr>
          <w:p>
            <w:pPr>
              <w:spacing w:after="0" w:line="240" w:lineRule="auto"/>
            </w:pPr>
            <w:r>
              <w:rPr>
                <w:rFonts w:ascii="Aptos" w:hAnsi="Aptos" w:eastAsia="Aptos"/>
                <w:b w:val="0"/>
                <w:color w:val="1F2933"/>
                <w:sz w:val="16"/>
              </w:rPr>
              <w:t>Duckworks Project Assumptions Register v1.0</w:t>
            </w:r>
          </w:p>
        </w:tc>
        <w:tc>
          <w:tcPr>
            <w:tcW w:type="dxa" w:w="6552"/>
            <w:tcMar>
              <w:top w:w="65" w:type="dxa"/>
              <w:start w:w="70" w:type="dxa"/>
              <w:bottom w:w="65" w:type="dxa"/>
              <w:end w:w="70" w:type="dxa"/>
            </w:tcMar>
            <w:vAlign w:val="top"/>
          </w:tcPr>
          <w:p>
            <w:pPr>
              <w:spacing w:after="0" w:line="240" w:lineRule="auto"/>
            </w:pPr>
            <w:r>
              <w:rPr>
                <w:rFonts w:ascii="Aptos" w:hAnsi="Aptos" w:eastAsia="Aptos"/>
                <w:b w:val="0"/>
                <w:color w:val="1F2933"/>
                <w:sz w:val="16"/>
              </w:rPr>
              <w:t>Validated/open assumptions, critical dependencies, legal/evidence boundaries and change-control triggers.</w:t>
            </w:r>
          </w:p>
        </w:tc>
      </w:tr>
      <w:tr>
        <w:trPr>
          <w:cantSplit/>
        </w:trPr>
        <w:tc>
          <w:tcPr>
            <w:tcW w:type="dxa" w:w="381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Duckworks Project Stakeholders v1.0</w:t>
            </w:r>
          </w:p>
        </w:tc>
        <w:tc>
          <w:tcPr>
            <w:tcW w:type="dxa" w:w="65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Executive, first/second/third-line, specialist, system-owner and affected-stakeholder responsibilities.</w:t>
            </w:r>
          </w:p>
        </w:tc>
      </w:tr>
      <w:tr>
        <w:trPr>
          <w:cantSplit/>
        </w:trPr>
        <w:tc>
          <w:tcPr>
            <w:tcW w:type="dxa" w:w="3816"/>
            <w:tcMar>
              <w:top w:w="65" w:type="dxa"/>
              <w:start w:w="70" w:type="dxa"/>
              <w:bottom w:w="65" w:type="dxa"/>
              <w:end w:w="70" w:type="dxa"/>
            </w:tcMar>
            <w:vAlign w:val="top"/>
          </w:tcPr>
          <w:p>
            <w:pPr>
              <w:spacing w:after="0" w:line="240" w:lineRule="auto"/>
            </w:pPr>
            <w:r>
              <w:rPr>
                <w:rFonts w:ascii="Aptos" w:hAnsi="Aptos" w:eastAsia="Aptos"/>
                <w:b w:val="0"/>
                <w:color w:val="1F2933"/>
                <w:sz w:val="16"/>
              </w:rPr>
              <w:t>Duckworks Project Acceptance Criteria v1.0</w:t>
            </w:r>
          </w:p>
        </w:tc>
        <w:tc>
          <w:tcPr>
            <w:tcW w:type="dxa" w:w="6552"/>
            <w:tcMar>
              <w:top w:w="65" w:type="dxa"/>
              <w:start w:w="70" w:type="dxa"/>
              <w:bottom w:w="65" w:type="dxa"/>
              <w:end w:w="70" w:type="dxa"/>
            </w:tcMar>
            <w:vAlign w:val="top"/>
          </w:tcPr>
          <w:p>
            <w:pPr>
              <w:spacing w:after="0" w:line="240" w:lineRule="auto"/>
            </w:pPr>
            <w:r>
              <w:rPr>
                <w:rFonts w:ascii="Aptos" w:hAnsi="Aptos" w:eastAsia="Aptos"/>
                <w:b w:val="0"/>
                <w:color w:val="1F2933"/>
                <w:sz w:val="16"/>
              </w:rPr>
              <w:t>Evidence-based acceptance conditions and system-specific release/governance gates.</w:t>
            </w:r>
          </w:p>
        </w:tc>
      </w:tr>
      <w:tr>
        <w:trPr>
          <w:cantSplit/>
        </w:trPr>
        <w:tc>
          <w:tcPr>
            <w:tcW w:type="dxa" w:w="381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Duckworks Project Required Deliverables v1.0</w:t>
            </w:r>
          </w:p>
        </w:tc>
        <w:tc>
          <w:tcPr>
            <w:tcW w:type="dxa" w:w="65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Implementation artifact dependency chain, planned deliverables, owners and roadmap requirement.</w:t>
            </w:r>
          </w:p>
        </w:tc>
      </w:tr>
      <w:tr>
        <w:trPr>
          <w:cantSplit/>
        </w:trPr>
        <w:tc>
          <w:tcPr>
            <w:tcW w:type="dxa" w:w="3816"/>
            <w:tcMar>
              <w:top w:w="65" w:type="dxa"/>
              <w:start w:w="70" w:type="dxa"/>
              <w:bottom w:w="65" w:type="dxa"/>
              <w:end w:w="70" w:type="dxa"/>
            </w:tcMar>
            <w:vAlign w:val="top"/>
          </w:tcPr>
          <w:p>
            <w:pPr>
              <w:spacing w:after="0" w:line="240" w:lineRule="auto"/>
            </w:pPr>
            <w:r>
              <w:rPr>
                <w:rFonts w:ascii="Aptos" w:hAnsi="Aptos" w:eastAsia="Aptos"/>
                <w:b w:val="0"/>
                <w:color w:val="1F2933"/>
                <w:sz w:val="16"/>
              </w:rPr>
              <w:t>Duckworks AI Risk Classification &amp; Assessment Methodology v1.0</w:t>
            </w:r>
          </w:p>
        </w:tc>
        <w:tc>
          <w:tcPr>
            <w:tcW w:type="dxa" w:w="6552"/>
            <w:tcMar>
              <w:top w:w="65" w:type="dxa"/>
              <w:start w:w="70" w:type="dxa"/>
              <w:bottom w:w="65" w:type="dxa"/>
              <w:end w:w="70" w:type="dxa"/>
            </w:tcMar>
            <w:vAlign w:val="top"/>
          </w:tcPr>
          <w:p>
            <w:pPr>
              <w:spacing w:after="0" w:line="240" w:lineRule="auto"/>
            </w:pPr>
            <w:r>
              <w:rPr>
                <w:rFonts w:ascii="Aptos" w:hAnsi="Aptos" w:eastAsia="Aptos"/>
                <w:b w:val="0"/>
                <w:color w:val="1F2933"/>
                <w:sz w:val="16"/>
              </w:rPr>
              <w:t>Risk methodology, approval thresholds, evidence rules, risk appetite, reassessment triggers and legal-classification separation.</w:t>
            </w:r>
          </w:p>
        </w:tc>
      </w:tr>
      <w:tr>
        <w:trPr>
          <w:cantSplit/>
        </w:trPr>
        <w:tc>
          <w:tcPr>
            <w:tcW w:type="dxa" w:w="3816"/>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Duckworks Public Frameworks, Legislation &amp; Guidance</w:t>
            </w:r>
          </w:p>
        </w:tc>
        <w:tc>
          <w:tcPr>
            <w:tcW w:type="dxa" w:w="6552"/>
            <w:shd w:fill="F3F5F7"/>
            <w:tcMar>
              <w:top w:w="65" w:type="dxa"/>
              <w:start w:w="70" w:type="dxa"/>
              <w:bottom w:w="65" w:type="dxa"/>
              <w:end w:w="70" w:type="dxa"/>
            </w:tcMar>
            <w:vAlign w:val="top"/>
          </w:tcPr>
          <w:p>
            <w:pPr>
              <w:spacing w:after="0" w:line="240" w:lineRule="auto"/>
            </w:pPr>
            <w:r>
              <w:rPr>
                <w:rFonts w:ascii="Aptos" w:hAnsi="Aptos" w:eastAsia="Aptos"/>
                <w:b w:val="0"/>
                <w:color w:val="1F2933"/>
                <w:sz w:val="16"/>
              </w:rPr>
              <w:t>Controlled public-source catalogue and the requirement to distinguish binding law from voluntary standards/frameworks and internal requirements.</w:t>
            </w:r>
          </w:p>
        </w:tc>
      </w:tr>
    </w:tbl>
    <w:sectPr w:rsidR="00FC693F" w:rsidRPr="0006063C" w:rsidSect="00034616">
      <w:headerReference w:type="default" r:id="rId9"/>
      <w:footerReference w:type="default" r:id="rId10"/>
      <w:pgSz w:w="12240" w:h="15840"/>
      <w:pgMar w:top="835" w:right="893" w:bottom="835" w:left="89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tos" w:hAnsi="Aptos" w:eastAsia="Aptos"/>
        <w:b w:val="0"/>
        <w:color w:val="65727E"/>
        <w:sz w:val="16"/>
      </w:rPr>
      <w:t xml:space="preserve">DW-WING-BCASE-01  |  Version 1.0  |  Fictional portfolio project  |  Page </w:t>
    </w:r>
    <w:r>
      <w:rPr>
        <w:rFonts w:ascii="Aptos" w:hAnsi="Aptos" w:eastAsia="Aptos"/>
        <w:b w:val="0"/>
        <w:color w:val="65727E"/>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eastAsia="Aptos"/>
        <w:b/>
        <w:color w:val="3C817A"/>
        <w:sz w:val="19"/>
      </w:rPr>
      <w:t>DUCKWORKS  |  PROJECT 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rPr>
      <w:rFonts w:ascii="Aptos" w:hAnsi="Aptos" w:eastAsia="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Governance Business Case</dc:title>
  <dc:subject>Project W.I.N.G. AI governance business case for a fictional portfolio project</dc:subject>
  <dc:creator>Duckworks AI Governance Portfolio</dc:creator>
  <cp:keywords>AI governance, business case, Project W.I.N.G., risk management, assurance, fictional portfolio</cp:keywords>
  <dc:description>Fictional organization and synthetic/non-production portfolio content.</dc:description>
  <cp:lastModifiedBy/>
  <cp:revision>1</cp:revision>
  <dcterms:created xsi:type="dcterms:W3CDTF">2013-12-23T23:15:00Z</dcterms:created>
  <dcterms:modified xsi:type="dcterms:W3CDTF">2013-12-23T23:15:00Z</dcterms:modified>
  <cp:category/>
</cp:coreProperties>
</file>