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2dbabb8291e5229551dbf49e08c2927bf6f05d"/>
    <w:p>
      <w:pPr>
        <w:pStyle w:val="Heading1"/>
      </w:pPr>
      <w:r>
        <w:t xml:space="preserve">Duckworks AI Governance Project — Project Objectives</w:t>
      </w:r>
    </w:p>
    <w:bookmarkStart w:id="9" w:name="primary-objective"/>
    <w:p>
      <w:pPr>
        <w:pStyle w:val="Heading2"/>
      </w:pPr>
      <w:r>
        <w:t xml:space="preserve">1. Primary Objective</w:t>
      </w:r>
    </w:p>
    <w:p>
      <w:pPr>
        <w:pStyle w:val="FirstParagraph"/>
      </w:pPr>
      <w:r>
        <w:t xml:space="preserve">The primary objective of the Duckworks AI Governance Project is to establish a</w:t>
      </w:r>
      <w:r>
        <w:t xml:space="preserve"> </w:t>
      </w:r>
      <w:r>
        <w:rPr>
          <w:b/>
          <w:bCs/>
        </w:rPr>
        <w:t xml:space="preserve">practical, risk-based, and auditable AI governance framework</w:t>
      </w:r>
      <w:r>
        <w:t xml:space="preserve"> </w:t>
      </w:r>
      <w:r>
        <w:t xml:space="preserve">that enables Duckworks to adopt artificial intelligence across the organization while maintaining appropriate oversight of legal, regulatory, security, privacy, fairness, safety, operational, and ethical risks.</w:t>
      </w:r>
    </w:p>
    <w:p>
      <w:pPr>
        <w:pStyle w:val="BodyText"/>
      </w:pPr>
      <w:r>
        <w:t xml:space="preserve">The framework should support innovation without applying unnecessary governance burden to low-impact AI use cases.</w:t>
      </w:r>
    </w:p>
    <w:p>
      <w:r>
        <w:pict>
          <v:rect style="width:0;height:1.5pt" o:hralign="center" o:hrstd="t" o:hr="t"/>
        </w:pict>
      </w:r>
    </w:p>
    <w:bookmarkEnd w:id="9"/>
    <w:bookmarkStart w:id="25" w:name="specific-project-objectives"/>
    <w:p>
      <w:pPr>
        <w:pStyle w:val="Heading2"/>
      </w:pPr>
      <w:r>
        <w:t xml:space="preserve">2. Specific Project Objectives</w:t>
      </w:r>
    </w:p>
    <w:bookmarkStart w:id="10" w:name="establish-enterprise-wide-ai-visibility"/>
    <w:p>
      <w:pPr>
        <w:pStyle w:val="Heading3"/>
      </w:pPr>
      <w:r>
        <w:t xml:space="preserve">2.1 Establish Enterprise-Wide AI Visibility</w:t>
      </w:r>
    </w:p>
    <w:p>
      <w:pPr>
        <w:pStyle w:val="FirstParagraph"/>
      </w:pPr>
      <w:r>
        <w:t xml:space="preserve">Create and maintain a centralized inventory of AI systems and AI-enabled use cases across Duckworks.</w:t>
      </w:r>
    </w:p>
    <w:p>
      <w:pPr>
        <w:pStyle w:val="BodyText"/>
      </w:pPr>
      <w:r>
        <w:t xml:space="preserve">The inventory should identify, at minimum:</w:t>
      </w:r>
    </w:p>
    <w:p>
      <w:pPr>
        <w:pStyle w:val="Compact"/>
        <w:numPr>
          <w:ilvl w:val="0"/>
          <w:numId w:val="1001"/>
        </w:numPr>
      </w:pPr>
      <w:r>
        <w:t xml:space="preserve">system name and intended purpose;</w:t>
      </w:r>
    </w:p>
    <w:p>
      <w:pPr>
        <w:pStyle w:val="Compact"/>
        <w:numPr>
          <w:ilvl w:val="0"/>
          <w:numId w:val="1001"/>
        </w:numPr>
      </w:pPr>
      <w:r>
        <w:t xml:space="preserve">business owner;</w:t>
      </w:r>
    </w:p>
    <w:p>
      <w:pPr>
        <w:pStyle w:val="Compact"/>
        <w:numPr>
          <w:ilvl w:val="0"/>
          <w:numId w:val="1001"/>
        </w:numPr>
      </w:pPr>
      <w:r>
        <w:t xml:space="preserve">technical owner;</w:t>
      </w:r>
    </w:p>
    <w:p>
      <w:pPr>
        <w:pStyle w:val="Compact"/>
        <w:numPr>
          <w:ilvl w:val="0"/>
          <w:numId w:val="1001"/>
        </w:numPr>
      </w:pPr>
      <w:r>
        <w:t xml:space="preserve">lifecycle stage;</w:t>
      </w:r>
    </w:p>
    <w:p>
      <w:pPr>
        <w:pStyle w:val="Compact"/>
        <w:numPr>
          <w:ilvl w:val="0"/>
          <w:numId w:val="1001"/>
        </w:numPr>
      </w:pPr>
      <w:r>
        <w:t xml:space="preserve">AI technology type;</w:t>
      </w:r>
    </w:p>
    <w:p>
      <w:pPr>
        <w:pStyle w:val="Compact"/>
        <w:numPr>
          <w:ilvl w:val="0"/>
          <w:numId w:val="1001"/>
        </w:numPr>
      </w:pPr>
      <w:r>
        <w:t xml:space="preserve">affected individuals or groups;</w:t>
      </w:r>
    </w:p>
    <w:p>
      <w:pPr>
        <w:pStyle w:val="Compact"/>
        <w:numPr>
          <w:ilvl w:val="0"/>
          <w:numId w:val="1001"/>
        </w:numPr>
      </w:pPr>
      <w:r>
        <w:t xml:space="preserve">data categories processed;</w:t>
      </w:r>
    </w:p>
    <w:p>
      <w:pPr>
        <w:pStyle w:val="Compact"/>
        <w:numPr>
          <w:ilvl w:val="0"/>
          <w:numId w:val="1001"/>
        </w:numPr>
      </w:pPr>
      <w:r>
        <w:t xml:space="preserve">third-party providers;</w:t>
      </w:r>
    </w:p>
    <w:p>
      <w:pPr>
        <w:pStyle w:val="Compact"/>
        <w:numPr>
          <w:ilvl w:val="0"/>
          <w:numId w:val="1001"/>
        </w:numPr>
      </w:pPr>
      <w:r>
        <w:t xml:space="preserve">human-oversight arrangements;</w:t>
      </w:r>
    </w:p>
    <w:p>
      <w:pPr>
        <w:pStyle w:val="Compact"/>
        <w:numPr>
          <w:ilvl w:val="0"/>
          <w:numId w:val="1001"/>
        </w:numPr>
      </w:pPr>
      <w:r>
        <w:t xml:space="preserve">risk classification;</w:t>
      </w:r>
    </w:p>
    <w:p>
      <w:pPr>
        <w:pStyle w:val="Compact"/>
        <w:numPr>
          <w:ilvl w:val="0"/>
          <w:numId w:val="1001"/>
        </w:numPr>
      </w:pPr>
      <w:r>
        <w:t xml:space="preserve">assessment status;</w:t>
      </w:r>
    </w:p>
    <w:p>
      <w:pPr>
        <w:pStyle w:val="Compact"/>
        <w:numPr>
          <w:ilvl w:val="0"/>
          <w:numId w:val="1001"/>
        </w:numPr>
      </w:pPr>
      <w:r>
        <w:t xml:space="preserve">approval status;</w:t>
      </w:r>
    </w:p>
    <w:p>
      <w:pPr>
        <w:pStyle w:val="Compact"/>
        <w:numPr>
          <w:ilvl w:val="0"/>
          <w:numId w:val="1001"/>
        </w:numPr>
      </w:pPr>
      <w:r>
        <w:t xml:space="preserve">monitoring requirements.</w:t>
      </w:r>
    </w:p>
    <w:p>
      <w:pPr>
        <w:pStyle w:val="FirstParagraph"/>
      </w:pPr>
      <w:r>
        <w:t xml:space="preserve">The inventory should include both formally approved systems and discovered</w:t>
      </w:r>
      <w:r>
        <w:t xml:space="preserve"> </w:t>
      </w:r>
      <w:r>
        <w:rPr>
          <w:b/>
          <w:bCs/>
        </w:rPr>
        <w:t xml:space="preserve">shadow or unregistered AI usage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de8efc25fbe460819baad1be78ed4ca22e8fc07"/>
    <w:p>
      <w:pPr>
        <w:pStyle w:val="Heading3"/>
      </w:pPr>
      <w:r>
        <w:t xml:space="preserve">2.2 Define Clear AI Governance Accountability</w:t>
      </w:r>
    </w:p>
    <w:p>
      <w:pPr>
        <w:pStyle w:val="FirstParagraph"/>
      </w:pPr>
      <w:r>
        <w:t xml:space="preserve">Establish clear accountability for AI throughout the organization.</w:t>
      </w:r>
    </w:p>
    <w:p>
      <w:pPr>
        <w:pStyle w:val="BodyText"/>
      </w:pPr>
      <w:r>
        <w:t xml:space="preserve">This includes defining responsibilities for:</w:t>
      </w:r>
    </w:p>
    <w:p>
      <w:pPr>
        <w:pStyle w:val="Compact"/>
        <w:numPr>
          <w:ilvl w:val="0"/>
          <w:numId w:val="1002"/>
        </w:numPr>
      </w:pPr>
      <w:r>
        <w:t xml:space="preserve">executive management;</w:t>
      </w:r>
    </w:p>
    <w:p>
      <w:pPr>
        <w:pStyle w:val="Compact"/>
        <w:numPr>
          <w:ilvl w:val="0"/>
          <w:numId w:val="1002"/>
        </w:numPr>
      </w:pPr>
      <w:r>
        <w:t xml:space="preserve">business owners;</w:t>
      </w:r>
    </w:p>
    <w:p>
      <w:pPr>
        <w:pStyle w:val="Compact"/>
        <w:numPr>
          <w:ilvl w:val="0"/>
          <w:numId w:val="1002"/>
        </w:numPr>
      </w:pPr>
      <w:r>
        <w:t xml:space="preserve">technical owners;</w:t>
      </w:r>
    </w:p>
    <w:p>
      <w:pPr>
        <w:pStyle w:val="Compact"/>
        <w:numPr>
          <w:ilvl w:val="0"/>
          <w:numId w:val="1002"/>
        </w:numPr>
      </w:pPr>
      <w:r>
        <w:t xml:space="preserve">AI developers and data teams;</w:t>
      </w:r>
    </w:p>
    <w:p>
      <w:pPr>
        <w:pStyle w:val="Compact"/>
        <w:numPr>
          <w:ilvl w:val="0"/>
          <w:numId w:val="1002"/>
        </w:numPr>
      </w:pPr>
      <w:r>
        <w:t xml:space="preserve">Information Security;</w:t>
      </w:r>
    </w:p>
    <w:p>
      <w:pPr>
        <w:pStyle w:val="Compact"/>
        <w:numPr>
          <w:ilvl w:val="0"/>
          <w:numId w:val="1002"/>
        </w:numPr>
      </w:pPr>
      <w:r>
        <w:t xml:space="preserve">Risk and Compliance;</w:t>
      </w:r>
    </w:p>
    <w:p>
      <w:pPr>
        <w:pStyle w:val="Compact"/>
        <w:numPr>
          <w:ilvl w:val="0"/>
          <w:numId w:val="1002"/>
        </w:numPr>
      </w:pPr>
      <w:r>
        <w:t xml:space="preserve">Privacy;</w:t>
      </w:r>
    </w:p>
    <w:p>
      <w:pPr>
        <w:pStyle w:val="Compact"/>
        <w:numPr>
          <w:ilvl w:val="0"/>
          <w:numId w:val="1002"/>
        </w:numPr>
      </w:pPr>
      <w:r>
        <w:t xml:space="preserve">Legal;</w:t>
      </w:r>
    </w:p>
    <w:p>
      <w:pPr>
        <w:pStyle w:val="Compact"/>
        <w:numPr>
          <w:ilvl w:val="0"/>
          <w:numId w:val="1002"/>
        </w:numPr>
      </w:pPr>
      <w:r>
        <w:t xml:space="preserve">Human Resources;</w:t>
      </w:r>
    </w:p>
    <w:p>
      <w:pPr>
        <w:pStyle w:val="Compact"/>
        <w:numPr>
          <w:ilvl w:val="0"/>
          <w:numId w:val="1002"/>
        </w:numPr>
      </w:pPr>
      <w:r>
        <w:t xml:space="preserve">Procurement;</w:t>
      </w:r>
    </w:p>
    <w:p>
      <w:pPr>
        <w:pStyle w:val="Compact"/>
        <w:numPr>
          <w:ilvl w:val="0"/>
          <w:numId w:val="1002"/>
        </w:numPr>
      </w:pPr>
      <w:r>
        <w:t xml:space="preserve">Internal Audit.</w:t>
      </w:r>
    </w:p>
    <w:p>
      <w:pPr>
        <w:pStyle w:val="FirstParagraph"/>
      </w:pPr>
      <w:r>
        <w:t xml:space="preserve">The project should establish an</w:t>
      </w:r>
      <w:r>
        <w:t xml:space="preserve"> </w:t>
      </w:r>
      <w:r>
        <w:rPr>
          <w:b/>
          <w:bCs/>
        </w:rPr>
        <w:t xml:space="preserve">AI Governance Committee</w:t>
      </w:r>
      <w:r>
        <w:t xml:space="preserve"> </w:t>
      </w:r>
      <w:r>
        <w:t xml:space="preserve">and define its decision-making, escalation, and reporting responsibilities.</w:t>
      </w:r>
    </w:p>
    <w:p>
      <w:r>
        <w:pict>
          <v:rect style="width:0;height:1.5pt" o:hralign="center" o:hrstd="t" o:hr="t"/>
        </w:pict>
      </w:r>
    </w:p>
    <w:bookmarkEnd w:id="11"/>
    <w:bookmarkStart w:id="12" w:name="X031beb848fbc302b68622aa54c371c1c71cb3c5"/>
    <w:p>
      <w:pPr>
        <w:pStyle w:val="Heading3"/>
      </w:pPr>
      <w:r>
        <w:t xml:space="preserve">2.3 Develop a Consistent AI Risk Classification Methodology</w:t>
      </w:r>
    </w:p>
    <w:p>
      <w:pPr>
        <w:pStyle w:val="FirstParagraph"/>
      </w:pPr>
      <w:r>
        <w:t xml:space="preserve">Create a repeatable methodology for determining the level of governance required for each AI system.</w:t>
      </w:r>
    </w:p>
    <w:p>
      <w:pPr>
        <w:pStyle w:val="BodyText"/>
      </w:pPr>
      <w:r>
        <w:t xml:space="preserve">The methodology should consider factors including:</w:t>
      </w:r>
    </w:p>
    <w:p>
      <w:pPr>
        <w:pStyle w:val="Compact"/>
        <w:numPr>
          <w:ilvl w:val="0"/>
          <w:numId w:val="1003"/>
        </w:numPr>
      </w:pPr>
      <w:r>
        <w:t xml:space="preserve">potential impact on individuals;</w:t>
      </w:r>
    </w:p>
    <w:p>
      <w:pPr>
        <w:pStyle w:val="Compact"/>
        <w:numPr>
          <w:ilvl w:val="0"/>
          <w:numId w:val="1003"/>
        </w:numPr>
      </w:pPr>
      <w:r>
        <w:t xml:space="preserve">potential safety consequences;</w:t>
      </w:r>
    </w:p>
    <w:p>
      <w:pPr>
        <w:pStyle w:val="Compact"/>
        <w:numPr>
          <w:ilvl w:val="0"/>
          <w:numId w:val="1003"/>
        </w:numPr>
      </w:pPr>
      <w:r>
        <w:t xml:space="preserve">financial and operational impact;</w:t>
      </w:r>
    </w:p>
    <w:p>
      <w:pPr>
        <w:pStyle w:val="Compact"/>
        <w:numPr>
          <w:ilvl w:val="0"/>
          <w:numId w:val="1003"/>
        </w:numPr>
      </w:pPr>
      <w:r>
        <w:t xml:space="preserve">cybersecurity exposure;</w:t>
      </w:r>
    </w:p>
    <w:p>
      <w:pPr>
        <w:pStyle w:val="Compact"/>
        <w:numPr>
          <w:ilvl w:val="0"/>
          <w:numId w:val="1003"/>
        </w:numPr>
      </w:pPr>
      <w:r>
        <w:t xml:space="preserve">privacy impact;</w:t>
      </w:r>
    </w:p>
    <w:p>
      <w:pPr>
        <w:pStyle w:val="Compact"/>
        <w:numPr>
          <w:ilvl w:val="0"/>
          <w:numId w:val="1003"/>
        </w:numPr>
      </w:pPr>
      <w:r>
        <w:t xml:space="preserve">discrimination and fairness risks;</w:t>
      </w:r>
    </w:p>
    <w:p>
      <w:pPr>
        <w:pStyle w:val="Compact"/>
        <w:numPr>
          <w:ilvl w:val="0"/>
          <w:numId w:val="1003"/>
        </w:numPr>
      </w:pPr>
      <w:r>
        <w:t xml:space="preserve">level of automation;</w:t>
      </w:r>
    </w:p>
    <w:p>
      <w:pPr>
        <w:pStyle w:val="Compact"/>
        <w:numPr>
          <w:ilvl w:val="0"/>
          <w:numId w:val="1003"/>
        </w:numPr>
      </w:pPr>
      <w:r>
        <w:t xml:space="preserve">degree of human oversight;</w:t>
      </w:r>
    </w:p>
    <w:p>
      <w:pPr>
        <w:pStyle w:val="Compact"/>
        <w:numPr>
          <w:ilvl w:val="0"/>
          <w:numId w:val="1003"/>
        </w:numPr>
      </w:pPr>
      <w:r>
        <w:t xml:space="preserve">business criticality;</w:t>
      </w:r>
    </w:p>
    <w:p>
      <w:pPr>
        <w:pStyle w:val="Compact"/>
        <w:numPr>
          <w:ilvl w:val="0"/>
          <w:numId w:val="1003"/>
        </w:numPr>
      </w:pPr>
      <w:r>
        <w:t xml:space="preserve">third-party dependency;</w:t>
      </w:r>
    </w:p>
    <w:p>
      <w:pPr>
        <w:pStyle w:val="Compact"/>
        <w:numPr>
          <w:ilvl w:val="0"/>
          <w:numId w:val="1003"/>
        </w:numPr>
      </w:pPr>
      <w:r>
        <w:t xml:space="preserve">regulatory significance.</w:t>
      </w:r>
    </w:p>
    <w:p>
      <w:pPr>
        <w:pStyle w:val="FirstParagraph"/>
      </w:pPr>
      <w:r>
        <w:t xml:space="preserve">The methodology should distinguish between:</w:t>
      </w:r>
    </w:p>
    <w:p>
      <w:pPr>
        <w:pStyle w:val="Compact"/>
        <w:numPr>
          <w:ilvl w:val="0"/>
          <w:numId w:val="1004"/>
        </w:numPr>
      </w:pPr>
      <w:r>
        <w:t xml:space="preserve">internal enterprise risk ratings; and</w:t>
      </w:r>
    </w:p>
    <w:p>
      <w:pPr>
        <w:pStyle w:val="Compact"/>
        <w:numPr>
          <w:ilvl w:val="0"/>
          <w:numId w:val="1004"/>
        </w:numPr>
      </w:pPr>
      <w:r>
        <w:t xml:space="preserve">legal or regulatory classifications.</w:t>
      </w:r>
    </w:p>
    <w:p>
      <w:r>
        <w:pict>
          <v:rect style="width:0;height:1.5pt" o:hralign="center" o:hrstd="t" o:hr="t"/>
        </w:pict>
      </w:r>
    </w:p>
    <w:bookmarkEnd w:id="12"/>
    <w:bookmarkStart w:id="13" w:name="X3d13de42f2240ca4b92a505ae3c7064aa11c193"/>
    <w:p>
      <w:pPr>
        <w:pStyle w:val="Heading3"/>
      </w:pPr>
      <w:r>
        <w:t xml:space="preserve">2.4 Assess AI Risks Across the Initial Portfolio</w:t>
      </w:r>
    </w:p>
    <w:p>
      <w:pPr>
        <w:pStyle w:val="FirstParagraph"/>
      </w:pPr>
      <w:r>
        <w:t xml:space="preserve">Apply the approved risk methodology to the initial seven Duckworks AI inventory entries.</w:t>
      </w:r>
    </w:p>
    <w:p>
      <w:pPr>
        <w:pStyle w:val="BodyText"/>
      </w:pPr>
      <w:r>
        <w:t xml:space="preserve">For each system, the project should identify:</w:t>
      </w:r>
    </w:p>
    <w:p>
      <w:pPr>
        <w:pStyle w:val="Compact"/>
        <w:numPr>
          <w:ilvl w:val="0"/>
          <w:numId w:val="1005"/>
        </w:numPr>
      </w:pPr>
      <w:r>
        <w:t xml:space="preserve">relevant threat and risk scenarios;</w:t>
      </w:r>
    </w:p>
    <w:p>
      <w:pPr>
        <w:pStyle w:val="Compact"/>
        <w:numPr>
          <w:ilvl w:val="0"/>
          <w:numId w:val="1005"/>
        </w:numPr>
      </w:pPr>
      <w:r>
        <w:t xml:space="preserve">inherent risk;</w:t>
      </w:r>
    </w:p>
    <w:p>
      <w:pPr>
        <w:pStyle w:val="Compact"/>
        <w:numPr>
          <w:ilvl w:val="0"/>
          <w:numId w:val="1005"/>
        </w:numPr>
      </w:pPr>
      <w:r>
        <w:t xml:space="preserve">existing controls;</w:t>
      </w:r>
    </w:p>
    <w:p>
      <w:pPr>
        <w:pStyle w:val="Compact"/>
        <w:numPr>
          <w:ilvl w:val="0"/>
          <w:numId w:val="1005"/>
        </w:numPr>
      </w:pPr>
      <w:r>
        <w:t xml:space="preserve">control effectiveness;</w:t>
      </w:r>
    </w:p>
    <w:p>
      <w:pPr>
        <w:pStyle w:val="Compact"/>
        <w:numPr>
          <w:ilvl w:val="0"/>
          <w:numId w:val="1005"/>
        </w:numPr>
      </w:pPr>
      <w:r>
        <w:t xml:space="preserve">residual risk;</w:t>
      </w:r>
    </w:p>
    <w:p>
      <w:pPr>
        <w:pStyle w:val="Compact"/>
        <w:numPr>
          <w:ilvl w:val="0"/>
          <w:numId w:val="1005"/>
        </w:numPr>
      </w:pPr>
      <w:r>
        <w:t xml:space="preserve">target residual risk;</w:t>
      </w:r>
    </w:p>
    <w:p>
      <w:pPr>
        <w:pStyle w:val="Compact"/>
        <w:numPr>
          <w:ilvl w:val="0"/>
          <w:numId w:val="1005"/>
        </w:numPr>
      </w:pPr>
      <w:r>
        <w:t xml:space="preserve">risk-treatment requirements;</w:t>
      </w:r>
    </w:p>
    <w:p>
      <w:pPr>
        <w:pStyle w:val="Compact"/>
        <w:numPr>
          <w:ilvl w:val="0"/>
          <w:numId w:val="1005"/>
        </w:numPr>
      </w:pPr>
      <w:r>
        <w:t xml:space="preserve">approval or deployment conditions.</w:t>
      </w:r>
    </w:p>
    <w:p>
      <w:pPr>
        <w:pStyle w:val="FirstParagraph"/>
      </w:pPr>
      <w:r>
        <w:t xml:space="preserve">Risk conclusions should be traceable to documented assumptions and evidence.</w:t>
      </w:r>
    </w:p>
    <w:p>
      <w:r>
        <w:pict>
          <v:rect style="width:0;height:1.5pt" o:hralign="center" o:hrstd="t" o:hr="t"/>
        </w:pict>
      </w:r>
    </w:p>
    <w:bookmarkEnd w:id="13"/>
    <w:bookmarkStart w:id="14" w:name="evaluate-the-wider-impact-of-ai-systems"/>
    <w:p>
      <w:pPr>
        <w:pStyle w:val="Heading3"/>
      </w:pPr>
      <w:r>
        <w:t xml:space="preserve">2.5 Evaluate the Wider Impact of AI Systems</w:t>
      </w:r>
    </w:p>
    <w:p>
      <w:pPr>
        <w:pStyle w:val="FirstParagraph"/>
      </w:pPr>
      <w:r>
        <w:t xml:space="preserve">Perform structured AI impact assessments for material AI systems.</w:t>
      </w:r>
    </w:p>
    <w:p>
      <w:pPr>
        <w:pStyle w:val="BodyText"/>
      </w:pPr>
      <w:r>
        <w:t xml:space="preserve">The impact assessments should consider potential effects on:</w:t>
      </w:r>
    </w:p>
    <w:p>
      <w:pPr>
        <w:pStyle w:val="Compact"/>
        <w:numPr>
          <w:ilvl w:val="0"/>
          <w:numId w:val="1006"/>
        </w:numPr>
      </w:pPr>
      <w:r>
        <w:t xml:space="preserve">employees;</w:t>
      </w:r>
    </w:p>
    <w:p>
      <w:pPr>
        <w:pStyle w:val="Compact"/>
        <w:numPr>
          <w:ilvl w:val="0"/>
          <w:numId w:val="1006"/>
        </w:numPr>
      </w:pPr>
      <w:r>
        <w:t xml:space="preserve">applicants;</w:t>
      </w:r>
    </w:p>
    <w:p>
      <w:pPr>
        <w:pStyle w:val="Compact"/>
        <w:numPr>
          <w:ilvl w:val="0"/>
          <w:numId w:val="1006"/>
        </w:numPr>
      </w:pPr>
      <w:r>
        <w:t xml:space="preserve">customers;</w:t>
      </w:r>
    </w:p>
    <w:p>
      <w:pPr>
        <w:pStyle w:val="Compact"/>
        <w:numPr>
          <w:ilvl w:val="0"/>
          <w:numId w:val="1006"/>
        </w:numPr>
      </w:pPr>
      <w:r>
        <w:t xml:space="preserve">business partners;</w:t>
      </w:r>
    </w:p>
    <w:p>
      <w:pPr>
        <w:pStyle w:val="Compact"/>
        <w:numPr>
          <w:ilvl w:val="0"/>
          <w:numId w:val="1006"/>
        </w:numPr>
      </w:pPr>
      <w:r>
        <w:t xml:space="preserve">suppliers;</w:t>
      </w:r>
    </w:p>
    <w:p>
      <w:pPr>
        <w:pStyle w:val="Compact"/>
        <w:numPr>
          <w:ilvl w:val="0"/>
          <w:numId w:val="1006"/>
        </w:numPr>
      </w:pPr>
      <w:r>
        <w:t xml:space="preserve">product users;</w:t>
      </w:r>
    </w:p>
    <w:p>
      <w:pPr>
        <w:pStyle w:val="Compact"/>
        <w:numPr>
          <w:ilvl w:val="0"/>
          <w:numId w:val="1006"/>
        </w:numPr>
      </w:pPr>
      <w:r>
        <w:t xml:space="preserve">organizational operations;</w:t>
      </w:r>
    </w:p>
    <w:p>
      <w:pPr>
        <w:pStyle w:val="Compact"/>
        <w:numPr>
          <w:ilvl w:val="0"/>
          <w:numId w:val="1006"/>
        </w:numPr>
      </w:pPr>
      <w:r>
        <w:t xml:space="preserve">safety;</w:t>
      </w:r>
    </w:p>
    <w:p>
      <w:pPr>
        <w:pStyle w:val="Compact"/>
        <w:numPr>
          <w:ilvl w:val="0"/>
          <w:numId w:val="1006"/>
        </w:numPr>
      </w:pPr>
      <w:r>
        <w:t xml:space="preserve">privacy;</w:t>
      </w:r>
    </w:p>
    <w:p>
      <w:pPr>
        <w:pStyle w:val="Compact"/>
        <w:numPr>
          <w:ilvl w:val="0"/>
          <w:numId w:val="1006"/>
        </w:numPr>
      </w:pPr>
      <w:r>
        <w:t xml:space="preserve">fairness;</w:t>
      </w:r>
    </w:p>
    <w:p>
      <w:pPr>
        <w:pStyle w:val="Compact"/>
        <w:numPr>
          <w:ilvl w:val="0"/>
          <w:numId w:val="1006"/>
        </w:numPr>
      </w:pPr>
      <w:r>
        <w:t xml:space="preserve">human autonomy;</w:t>
      </w:r>
    </w:p>
    <w:p>
      <w:pPr>
        <w:pStyle w:val="Compact"/>
        <w:numPr>
          <w:ilvl w:val="0"/>
          <w:numId w:val="1006"/>
        </w:numPr>
      </w:pPr>
      <w:r>
        <w:t xml:space="preserve">fundamental rights;</w:t>
      </w:r>
    </w:p>
    <w:p>
      <w:pPr>
        <w:pStyle w:val="Compact"/>
        <w:numPr>
          <w:ilvl w:val="0"/>
          <w:numId w:val="1006"/>
        </w:numPr>
      </w:pPr>
      <w:r>
        <w:t xml:space="preserve">information security.</w:t>
      </w:r>
    </w:p>
    <w:p>
      <w:pPr>
        <w:pStyle w:val="FirstParagraph"/>
      </w:pPr>
      <w:r>
        <w:t xml:space="preserve">The assessment process should consider both</w:t>
      </w:r>
      <w:r>
        <w:t xml:space="preserve"> </w:t>
      </w:r>
      <w:r>
        <w:rPr>
          <w:b/>
          <w:bCs/>
        </w:rPr>
        <w:t xml:space="preserve">positive and adverse impacts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daf61d760db2c2022ac4f7135cb3294dd90f0c6"/>
    <w:p>
      <w:pPr>
        <w:pStyle w:val="Heading3"/>
      </w:pPr>
      <w:r>
        <w:t xml:space="preserve">2.6 Establish a Risk-Based AI Approval Process</w:t>
      </w:r>
    </w:p>
    <w:p>
      <w:pPr>
        <w:pStyle w:val="FirstParagraph"/>
      </w:pPr>
      <w:r>
        <w:t xml:space="preserve">Define a governance process for approving, conditionally approving, rejecting, suspending, or retiring AI systems.</w:t>
      </w:r>
    </w:p>
    <w:p>
      <w:pPr>
        <w:pStyle w:val="BodyText"/>
      </w:pPr>
      <w:r>
        <w:t xml:space="preserve">Approval requirements should be proportional to risk.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7"/>
        </w:numPr>
      </w:pPr>
      <w:r>
        <w:t xml:space="preserve">lower-impact systems may follow a simplified review;</w:t>
      </w:r>
    </w:p>
    <w:p>
      <w:pPr>
        <w:pStyle w:val="Compact"/>
        <w:numPr>
          <w:ilvl w:val="0"/>
          <w:numId w:val="1007"/>
        </w:numPr>
      </w:pPr>
      <w:r>
        <w:t xml:space="preserve">higher-risk systems may require enhanced assessment, testing, legal review, executive approval, and ongoing monitoring;</w:t>
      </w:r>
    </w:p>
    <w:p>
      <w:pPr>
        <w:pStyle w:val="Compact"/>
        <w:numPr>
          <w:ilvl w:val="0"/>
          <w:numId w:val="1007"/>
        </w:numPr>
      </w:pPr>
      <w:r>
        <w:t xml:space="preserve">unacceptable use cases should not proceed until material risks have been adequately addressed.</w:t>
      </w:r>
    </w:p>
    <w:p>
      <w:r>
        <w:pict>
          <v:rect style="width:0;height:1.5pt" o:hralign="center" o:hrstd="t" o:hr="t"/>
        </w:pict>
      </w:r>
    </w:p>
    <w:bookmarkEnd w:id="15"/>
    <w:bookmarkStart w:id="16" w:name="develop-an-ai-control-framework"/>
    <w:p>
      <w:pPr>
        <w:pStyle w:val="Heading3"/>
      </w:pPr>
      <w:r>
        <w:t xml:space="preserve">2.7 Develop an AI Control Framework</w:t>
      </w:r>
    </w:p>
    <w:p>
      <w:pPr>
        <w:pStyle w:val="FirstParagraph"/>
      </w:pPr>
      <w:r>
        <w:t xml:space="preserve">Design a structured library of AI governance and technical controls.</w:t>
      </w:r>
    </w:p>
    <w:p>
      <w:pPr>
        <w:pStyle w:val="BodyText"/>
      </w:pPr>
      <w:r>
        <w:t xml:space="preserve">The control framework should address areas including:</w:t>
      </w:r>
    </w:p>
    <w:p>
      <w:pPr>
        <w:pStyle w:val="Compact"/>
        <w:numPr>
          <w:ilvl w:val="0"/>
          <w:numId w:val="1008"/>
        </w:numPr>
      </w:pPr>
      <w:r>
        <w:t xml:space="preserve">AI inventory management;</w:t>
      </w:r>
    </w:p>
    <w:p>
      <w:pPr>
        <w:pStyle w:val="Compact"/>
        <w:numPr>
          <w:ilvl w:val="0"/>
          <w:numId w:val="1008"/>
        </w:numPr>
      </w:pPr>
      <w:r>
        <w:t xml:space="preserve">risk assessment;</w:t>
      </w:r>
    </w:p>
    <w:p>
      <w:pPr>
        <w:pStyle w:val="Compact"/>
        <w:numPr>
          <w:ilvl w:val="0"/>
          <w:numId w:val="1008"/>
        </w:numPr>
      </w:pPr>
      <w:r>
        <w:t xml:space="preserve">impact assessment;</w:t>
      </w:r>
    </w:p>
    <w:p>
      <w:pPr>
        <w:pStyle w:val="Compact"/>
        <w:numPr>
          <w:ilvl w:val="0"/>
          <w:numId w:val="1008"/>
        </w:numPr>
      </w:pPr>
      <w:r>
        <w:t xml:space="preserve">data governance;</w:t>
      </w:r>
    </w:p>
    <w:p>
      <w:pPr>
        <w:pStyle w:val="Compact"/>
        <w:numPr>
          <w:ilvl w:val="0"/>
          <w:numId w:val="1008"/>
        </w:numPr>
      </w:pPr>
      <w:r>
        <w:t xml:space="preserve">privacy;</w:t>
      </w:r>
    </w:p>
    <w:p>
      <w:pPr>
        <w:pStyle w:val="Compact"/>
        <w:numPr>
          <w:ilvl w:val="0"/>
          <w:numId w:val="1008"/>
        </w:numPr>
      </w:pPr>
      <w:r>
        <w:t xml:space="preserve">security;</w:t>
      </w:r>
    </w:p>
    <w:p>
      <w:pPr>
        <w:pStyle w:val="Compact"/>
        <w:numPr>
          <w:ilvl w:val="0"/>
          <w:numId w:val="1008"/>
        </w:numPr>
      </w:pPr>
      <w:r>
        <w:t xml:space="preserve">human oversight;</w:t>
      </w:r>
    </w:p>
    <w:p>
      <w:pPr>
        <w:pStyle w:val="Compact"/>
        <w:numPr>
          <w:ilvl w:val="0"/>
          <w:numId w:val="1008"/>
        </w:numPr>
      </w:pPr>
      <w:r>
        <w:t xml:space="preserve">fairness;</w:t>
      </w:r>
    </w:p>
    <w:p>
      <w:pPr>
        <w:pStyle w:val="Compact"/>
        <w:numPr>
          <w:ilvl w:val="0"/>
          <w:numId w:val="1008"/>
        </w:numPr>
      </w:pPr>
      <w:r>
        <w:t xml:space="preserve">transparency;</w:t>
      </w:r>
    </w:p>
    <w:p>
      <w:pPr>
        <w:pStyle w:val="Compact"/>
        <w:numPr>
          <w:ilvl w:val="0"/>
          <w:numId w:val="1008"/>
        </w:numPr>
      </w:pPr>
      <w:r>
        <w:t xml:space="preserve">model validation;</w:t>
      </w:r>
    </w:p>
    <w:p>
      <w:pPr>
        <w:pStyle w:val="Compact"/>
        <w:numPr>
          <w:ilvl w:val="0"/>
          <w:numId w:val="1008"/>
        </w:numPr>
      </w:pPr>
      <w:r>
        <w:t xml:space="preserve">third-party risk;</w:t>
      </w:r>
    </w:p>
    <w:p>
      <w:pPr>
        <w:pStyle w:val="Compact"/>
        <w:numPr>
          <w:ilvl w:val="0"/>
          <w:numId w:val="1008"/>
        </w:numPr>
      </w:pPr>
      <w:r>
        <w:t xml:space="preserve">change management;</w:t>
      </w:r>
    </w:p>
    <w:p>
      <w:pPr>
        <w:pStyle w:val="Compact"/>
        <w:numPr>
          <w:ilvl w:val="0"/>
          <w:numId w:val="1008"/>
        </w:numPr>
      </w:pPr>
      <w:r>
        <w:t xml:space="preserve">logging;</w:t>
      </w:r>
    </w:p>
    <w:p>
      <w:pPr>
        <w:pStyle w:val="Compact"/>
        <w:numPr>
          <w:ilvl w:val="0"/>
          <w:numId w:val="1008"/>
        </w:numPr>
      </w:pPr>
      <w:r>
        <w:t xml:space="preserve">monitoring;</w:t>
      </w:r>
    </w:p>
    <w:p>
      <w:pPr>
        <w:pStyle w:val="Compact"/>
        <w:numPr>
          <w:ilvl w:val="0"/>
          <w:numId w:val="1008"/>
        </w:numPr>
      </w:pPr>
      <w:r>
        <w:t xml:space="preserve">incident management;</w:t>
      </w:r>
    </w:p>
    <w:p>
      <w:pPr>
        <w:pStyle w:val="Compact"/>
        <w:numPr>
          <w:ilvl w:val="0"/>
          <w:numId w:val="1008"/>
        </w:numPr>
      </w:pPr>
      <w:r>
        <w:t xml:space="preserve">system retirement.</w:t>
      </w:r>
    </w:p>
    <w:p>
      <w:pPr>
        <w:pStyle w:val="FirstParagraph"/>
      </w:pPr>
      <w:r>
        <w:t xml:space="preserve">Each material control should identify:</w:t>
      </w:r>
    </w:p>
    <w:p>
      <w:pPr>
        <w:pStyle w:val="Compact"/>
        <w:numPr>
          <w:ilvl w:val="0"/>
          <w:numId w:val="1009"/>
        </w:numPr>
      </w:pPr>
      <w:r>
        <w:t xml:space="preserve">control objective;</w:t>
      </w:r>
    </w:p>
    <w:p>
      <w:pPr>
        <w:pStyle w:val="Compact"/>
        <w:numPr>
          <w:ilvl w:val="0"/>
          <w:numId w:val="1009"/>
        </w:numPr>
      </w:pPr>
      <w:r>
        <w:t xml:space="preserve">control owner;</w:t>
      </w:r>
    </w:p>
    <w:p>
      <w:pPr>
        <w:pStyle w:val="Compact"/>
        <w:numPr>
          <w:ilvl w:val="0"/>
          <w:numId w:val="1009"/>
        </w:numPr>
      </w:pPr>
      <w:r>
        <w:t xml:space="preserve">frequency;</w:t>
      </w:r>
    </w:p>
    <w:p>
      <w:pPr>
        <w:pStyle w:val="Compact"/>
        <w:numPr>
          <w:ilvl w:val="0"/>
          <w:numId w:val="1009"/>
        </w:numPr>
      </w:pPr>
      <w:r>
        <w:t xml:space="preserve">expected evidence;</w:t>
      </w:r>
    </w:p>
    <w:p>
      <w:pPr>
        <w:pStyle w:val="Compact"/>
        <w:numPr>
          <w:ilvl w:val="0"/>
          <w:numId w:val="1009"/>
        </w:numPr>
      </w:pPr>
      <w:r>
        <w:t xml:space="preserve">testing approach;</w:t>
      </w:r>
    </w:p>
    <w:p>
      <w:pPr>
        <w:pStyle w:val="Compact"/>
        <w:numPr>
          <w:ilvl w:val="0"/>
          <w:numId w:val="1009"/>
        </w:numPr>
      </w:pPr>
      <w:r>
        <w:t xml:space="preserve">applicable AI risks.</w:t>
      </w:r>
    </w:p>
    <w:p>
      <w:r>
        <w:pict>
          <v:rect style="width:0;height:1.5pt" o:hralign="center" o:hrstd="t" o:hr="t"/>
        </w:pict>
      </w:r>
    </w:p>
    <w:bookmarkEnd w:id="16"/>
    <w:bookmarkStart w:id="17" w:name="X35561809e4255a633d0aeecedc6d3822247e8c6"/>
    <w:p>
      <w:pPr>
        <w:pStyle w:val="Heading3"/>
      </w:pPr>
      <w:r>
        <w:t xml:space="preserve">2.8 Integrate AI Governance with Existing Enterprise Processes</w:t>
      </w:r>
    </w:p>
    <w:p>
      <w:pPr>
        <w:pStyle w:val="FirstParagraph"/>
      </w:pPr>
      <w:r>
        <w:t xml:space="preserve">Ensure that AI governance is not implemented as an isolated compliance activity.</w:t>
      </w:r>
    </w:p>
    <w:p>
      <w:pPr>
        <w:pStyle w:val="BodyText"/>
      </w:pPr>
      <w:r>
        <w:t xml:space="preserve">The framework should integrate with existing Duckworks processes for:</w:t>
      </w:r>
    </w:p>
    <w:p>
      <w:pPr>
        <w:pStyle w:val="Compact"/>
        <w:numPr>
          <w:ilvl w:val="0"/>
          <w:numId w:val="1010"/>
        </w:numPr>
      </w:pPr>
      <w:r>
        <w:t xml:space="preserve">enterprise risk management;</w:t>
      </w:r>
    </w:p>
    <w:p>
      <w:pPr>
        <w:pStyle w:val="Compact"/>
        <w:numPr>
          <w:ilvl w:val="0"/>
          <w:numId w:val="1010"/>
        </w:numPr>
      </w:pPr>
      <w:r>
        <w:t xml:space="preserve">information security;</w:t>
      </w:r>
    </w:p>
    <w:p>
      <w:pPr>
        <w:pStyle w:val="Compact"/>
        <w:numPr>
          <w:ilvl w:val="0"/>
          <w:numId w:val="1010"/>
        </w:numPr>
      </w:pPr>
      <w:r>
        <w:t xml:space="preserve">privacy;</w:t>
      </w:r>
    </w:p>
    <w:p>
      <w:pPr>
        <w:pStyle w:val="Compact"/>
        <w:numPr>
          <w:ilvl w:val="0"/>
          <w:numId w:val="1010"/>
        </w:numPr>
      </w:pPr>
      <w:r>
        <w:t xml:space="preserve">procurement;</w:t>
      </w:r>
    </w:p>
    <w:p>
      <w:pPr>
        <w:pStyle w:val="Compact"/>
        <w:numPr>
          <w:ilvl w:val="0"/>
          <w:numId w:val="1010"/>
        </w:numPr>
      </w:pPr>
      <w:r>
        <w:t xml:space="preserve">vendor management;</w:t>
      </w:r>
    </w:p>
    <w:p>
      <w:pPr>
        <w:pStyle w:val="Compact"/>
        <w:numPr>
          <w:ilvl w:val="0"/>
          <w:numId w:val="1010"/>
        </w:numPr>
      </w:pPr>
      <w:r>
        <w:t xml:space="preserve">software development;</w:t>
      </w:r>
    </w:p>
    <w:p>
      <w:pPr>
        <w:pStyle w:val="Compact"/>
        <w:numPr>
          <w:ilvl w:val="0"/>
          <w:numId w:val="1010"/>
        </w:numPr>
      </w:pPr>
      <w:r>
        <w:t xml:space="preserve">product engineering;</w:t>
      </w:r>
    </w:p>
    <w:p>
      <w:pPr>
        <w:pStyle w:val="Compact"/>
        <w:numPr>
          <w:ilvl w:val="0"/>
          <w:numId w:val="1010"/>
        </w:numPr>
      </w:pPr>
      <w:r>
        <w:t xml:space="preserve">change management;</w:t>
      </w:r>
    </w:p>
    <w:p>
      <w:pPr>
        <w:pStyle w:val="Compact"/>
        <w:numPr>
          <w:ilvl w:val="0"/>
          <w:numId w:val="1010"/>
        </w:numPr>
      </w:pPr>
      <w:r>
        <w:t xml:space="preserve">incident management;</w:t>
      </w:r>
    </w:p>
    <w:p>
      <w:pPr>
        <w:pStyle w:val="Compact"/>
        <w:numPr>
          <w:ilvl w:val="0"/>
          <w:numId w:val="1010"/>
        </w:numPr>
      </w:pPr>
      <w:r>
        <w:t xml:space="preserve">business continuity;</w:t>
      </w:r>
    </w:p>
    <w:p>
      <w:pPr>
        <w:pStyle w:val="Compact"/>
        <w:numPr>
          <w:ilvl w:val="0"/>
          <w:numId w:val="1010"/>
        </w:numPr>
      </w:pPr>
      <w:r>
        <w:t xml:space="preserve">internal audit.</w:t>
      </w:r>
    </w:p>
    <w:p>
      <w:pPr>
        <w:pStyle w:val="FirstParagraph"/>
      </w:pPr>
      <w:r>
        <w:t xml:space="preserve">Where possible, existing governance processes should be extended rather than duplicated.</w:t>
      </w:r>
    </w:p>
    <w:p>
      <w:r>
        <w:pict>
          <v:rect style="width:0;height:1.5pt" o:hralign="center" o:hrstd="t" o:hr="t"/>
        </w:pict>
      </w:r>
    </w:p>
    <w:bookmarkEnd w:id="17"/>
    <w:bookmarkStart w:id="18" w:name="strengthen-third-party-ai-governance"/>
    <w:p>
      <w:pPr>
        <w:pStyle w:val="Heading3"/>
      </w:pPr>
      <w:r>
        <w:t xml:space="preserve">2.9 Strengthen Third-Party AI Governance</w:t>
      </w:r>
    </w:p>
    <w:p>
      <w:pPr>
        <w:pStyle w:val="FirstParagraph"/>
      </w:pPr>
      <w:r>
        <w:t xml:space="preserve">Establish minimum governance requirements for external AI providers, APIs, hosted models, and AI-enabled SaaS products.</w:t>
      </w:r>
    </w:p>
    <w:p>
      <w:pPr>
        <w:pStyle w:val="BodyText"/>
      </w:pPr>
      <w:r>
        <w:t xml:space="preserve">The project should define requirements for assessing:</w:t>
      </w:r>
    </w:p>
    <w:p>
      <w:pPr>
        <w:pStyle w:val="Compact"/>
        <w:numPr>
          <w:ilvl w:val="0"/>
          <w:numId w:val="1011"/>
        </w:numPr>
      </w:pPr>
      <w:r>
        <w:t xml:space="preserve">vendor security;</w:t>
      </w:r>
    </w:p>
    <w:p>
      <w:pPr>
        <w:pStyle w:val="Compact"/>
        <w:numPr>
          <w:ilvl w:val="0"/>
          <w:numId w:val="1011"/>
        </w:numPr>
      </w:pPr>
      <w:r>
        <w:t xml:space="preserve">privacy practices;</w:t>
      </w:r>
    </w:p>
    <w:p>
      <w:pPr>
        <w:pStyle w:val="Compact"/>
        <w:numPr>
          <w:ilvl w:val="0"/>
          <w:numId w:val="1011"/>
        </w:numPr>
      </w:pPr>
      <w:r>
        <w:t xml:space="preserve">data retention;</w:t>
      </w:r>
    </w:p>
    <w:p>
      <w:pPr>
        <w:pStyle w:val="Compact"/>
        <w:numPr>
          <w:ilvl w:val="0"/>
          <w:numId w:val="1011"/>
        </w:numPr>
      </w:pPr>
      <w:r>
        <w:t xml:space="preserve">data usage;</w:t>
      </w:r>
    </w:p>
    <w:p>
      <w:pPr>
        <w:pStyle w:val="Compact"/>
        <w:numPr>
          <w:ilvl w:val="0"/>
          <w:numId w:val="1011"/>
        </w:numPr>
      </w:pPr>
      <w:r>
        <w:t xml:space="preserve">model training practices;</w:t>
      </w:r>
    </w:p>
    <w:p>
      <w:pPr>
        <w:pStyle w:val="Compact"/>
        <w:numPr>
          <w:ilvl w:val="0"/>
          <w:numId w:val="1011"/>
        </w:numPr>
      </w:pPr>
      <w:r>
        <w:t xml:space="preserve">subcontractors;</w:t>
      </w:r>
    </w:p>
    <w:p>
      <w:pPr>
        <w:pStyle w:val="Compact"/>
        <w:numPr>
          <w:ilvl w:val="0"/>
          <w:numId w:val="1011"/>
        </w:numPr>
      </w:pPr>
      <w:r>
        <w:t xml:space="preserve">service availability;</w:t>
      </w:r>
    </w:p>
    <w:p>
      <w:pPr>
        <w:pStyle w:val="Compact"/>
        <w:numPr>
          <w:ilvl w:val="0"/>
          <w:numId w:val="1011"/>
        </w:numPr>
      </w:pPr>
      <w:r>
        <w:t xml:space="preserve">intellectual-property considerations;</w:t>
      </w:r>
    </w:p>
    <w:p>
      <w:pPr>
        <w:pStyle w:val="Compact"/>
        <w:numPr>
          <w:ilvl w:val="0"/>
          <w:numId w:val="1011"/>
        </w:numPr>
      </w:pPr>
      <w:r>
        <w:t xml:space="preserve">incident notification;</w:t>
      </w:r>
    </w:p>
    <w:p>
      <w:pPr>
        <w:pStyle w:val="Compact"/>
        <w:numPr>
          <w:ilvl w:val="0"/>
          <w:numId w:val="1011"/>
        </w:numPr>
      </w:pPr>
      <w:r>
        <w:t xml:space="preserve">model or service changes;</w:t>
      </w:r>
    </w:p>
    <w:p>
      <w:pPr>
        <w:pStyle w:val="Compact"/>
        <w:numPr>
          <w:ilvl w:val="0"/>
          <w:numId w:val="1011"/>
        </w:numPr>
      </w:pPr>
      <w:r>
        <w:t xml:space="preserve">contractual protections;</w:t>
      </w:r>
    </w:p>
    <w:p>
      <w:pPr>
        <w:pStyle w:val="Compact"/>
        <w:numPr>
          <w:ilvl w:val="0"/>
          <w:numId w:val="1011"/>
        </w:numPr>
      </w:pPr>
      <w:r>
        <w:t xml:space="preserve">exit and transition arrangements.</w:t>
      </w:r>
    </w:p>
    <w:p>
      <w:r>
        <w:pict>
          <v:rect style="width:0;height:1.5pt" o:hralign="center" o:hrstd="t" o:hr="t"/>
        </w:pict>
      </w:r>
    </w:p>
    <w:bookmarkEnd w:id="18"/>
    <w:bookmarkStart w:id="19" w:name="address-shadow-and-unregistered-ai-usage"/>
    <w:p>
      <w:pPr>
        <w:pStyle w:val="Heading3"/>
      </w:pPr>
      <w:r>
        <w:t xml:space="preserve">2.10 Address Shadow and Unregistered AI Usage</w:t>
      </w:r>
    </w:p>
    <w:p>
      <w:pPr>
        <w:pStyle w:val="FirstParagraph"/>
      </w:pPr>
      <w:r>
        <w:t xml:space="preserve">Create a formal approach for discovering and managing AI tools used outside approved processes.</w:t>
      </w:r>
    </w:p>
    <w:p>
      <w:pPr>
        <w:pStyle w:val="BodyText"/>
      </w:pPr>
      <w:r>
        <w:t xml:space="preserve">The project should establish:</w:t>
      </w:r>
    </w:p>
    <w:p>
      <w:pPr>
        <w:pStyle w:val="Compact"/>
        <w:numPr>
          <w:ilvl w:val="0"/>
          <w:numId w:val="1012"/>
        </w:numPr>
      </w:pPr>
      <w:r>
        <w:t xml:space="preserve">acceptable-use requirements;</w:t>
      </w:r>
    </w:p>
    <w:p>
      <w:pPr>
        <w:pStyle w:val="Compact"/>
        <w:numPr>
          <w:ilvl w:val="0"/>
          <w:numId w:val="1012"/>
        </w:numPr>
      </w:pPr>
      <w:r>
        <w:t xml:space="preserve">prohibited-use conditions;</w:t>
      </w:r>
    </w:p>
    <w:p>
      <w:pPr>
        <w:pStyle w:val="Compact"/>
        <w:numPr>
          <w:ilvl w:val="0"/>
          <w:numId w:val="1012"/>
        </w:numPr>
      </w:pPr>
      <w:r>
        <w:t xml:space="preserve">employee guidance;</w:t>
      </w:r>
    </w:p>
    <w:p>
      <w:pPr>
        <w:pStyle w:val="Compact"/>
        <w:numPr>
          <w:ilvl w:val="0"/>
          <w:numId w:val="1012"/>
        </w:numPr>
      </w:pPr>
      <w:r>
        <w:t xml:space="preserve">reporting channels;</w:t>
      </w:r>
    </w:p>
    <w:p>
      <w:pPr>
        <w:pStyle w:val="Compact"/>
        <w:numPr>
          <w:ilvl w:val="0"/>
          <w:numId w:val="1012"/>
        </w:numPr>
      </w:pPr>
      <w:r>
        <w:t xml:space="preserve">approved AI services;</w:t>
      </w:r>
    </w:p>
    <w:p>
      <w:pPr>
        <w:pStyle w:val="Compact"/>
        <w:numPr>
          <w:ilvl w:val="0"/>
          <w:numId w:val="1012"/>
        </w:numPr>
      </w:pPr>
      <w:r>
        <w:t xml:space="preserve">data-handling restrictions;</w:t>
      </w:r>
    </w:p>
    <w:p>
      <w:pPr>
        <w:pStyle w:val="Compact"/>
        <w:numPr>
          <w:ilvl w:val="0"/>
          <w:numId w:val="1012"/>
        </w:numPr>
      </w:pPr>
      <w:r>
        <w:t xml:space="preserve">discovery and monitoring mechanisms;</w:t>
      </w:r>
    </w:p>
    <w:p>
      <w:pPr>
        <w:pStyle w:val="Compact"/>
        <w:numPr>
          <w:ilvl w:val="0"/>
          <w:numId w:val="1012"/>
        </w:numPr>
      </w:pPr>
      <w:r>
        <w:t xml:space="preserve">remediation procedures.</w:t>
      </w:r>
    </w:p>
    <w:p>
      <w:pPr>
        <w:pStyle w:val="FirstParagraph"/>
      </w:pPr>
      <w:r>
        <w:t xml:space="preserve">The objective is not to prohibit reasonable AI experimentation but to ensure that experimentation occurs within defined organizational boundaries.</w:t>
      </w:r>
    </w:p>
    <w:p>
      <w:r>
        <w:pict>
          <v:rect style="width:0;height:1.5pt" o:hralign="center" o:hrstd="t" o:hr="t"/>
        </w:pict>
      </w:r>
    </w:p>
    <w:bookmarkEnd w:id="19"/>
    <w:bookmarkStart w:id="20" w:name="X062877dfb9621d6e2fd458b05f489d174c80359"/>
    <w:p>
      <w:pPr>
        <w:pStyle w:val="Heading3"/>
      </w:pPr>
      <w:r>
        <w:t xml:space="preserve">2.11 Establish AI Monitoring and Reassessment Requirements</w:t>
      </w:r>
    </w:p>
    <w:p>
      <w:pPr>
        <w:pStyle w:val="FirstParagraph"/>
      </w:pPr>
      <w:r>
        <w:t xml:space="preserve">Define the conditions under which AI systems must be continuously monitored or formally reassessed.</w:t>
      </w:r>
    </w:p>
    <w:p>
      <w:pPr>
        <w:pStyle w:val="BodyText"/>
      </w:pPr>
      <w:r>
        <w:t xml:space="preserve">Monitoring should consider, where relevant:</w:t>
      </w:r>
    </w:p>
    <w:p>
      <w:pPr>
        <w:pStyle w:val="Compact"/>
        <w:numPr>
          <w:ilvl w:val="0"/>
          <w:numId w:val="1013"/>
        </w:numPr>
      </w:pPr>
      <w:r>
        <w:t xml:space="preserve">system performance;</w:t>
      </w:r>
    </w:p>
    <w:p>
      <w:pPr>
        <w:pStyle w:val="Compact"/>
        <w:numPr>
          <w:ilvl w:val="0"/>
          <w:numId w:val="1013"/>
        </w:numPr>
      </w:pPr>
      <w:r>
        <w:t xml:space="preserve">model drift;</w:t>
      </w:r>
    </w:p>
    <w:p>
      <w:pPr>
        <w:pStyle w:val="Compact"/>
        <w:numPr>
          <w:ilvl w:val="0"/>
          <w:numId w:val="1013"/>
        </w:numPr>
      </w:pPr>
      <w:r>
        <w:t xml:space="preserve">security events;</w:t>
      </w:r>
    </w:p>
    <w:p>
      <w:pPr>
        <w:pStyle w:val="Compact"/>
        <w:numPr>
          <w:ilvl w:val="0"/>
          <w:numId w:val="1013"/>
        </w:numPr>
      </w:pPr>
      <w:r>
        <w:t xml:space="preserve">harmful or incorrect outputs;</w:t>
      </w:r>
    </w:p>
    <w:p>
      <w:pPr>
        <w:pStyle w:val="Compact"/>
        <w:numPr>
          <w:ilvl w:val="0"/>
          <w:numId w:val="1013"/>
        </w:numPr>
      </w:pPr>
      <w:r>
        <w:t xml:space="preserve">fairness indicators;</w:t>
      </w:r>
    </w:p>
    <w:p>
      <w:pPr>
        <w:pStyle w:val="Compact"/>
        <w:numPr>
          <w:ilvl w:val="0"/>
          <w:numId w:val="1013"/>
        </w:numPr>
      </w:pPr>
      <w:r>
        <w:t xml:space="preserve">override rates;</w:t>
      </w:r>
    </w:p>
    <w:p>
      <w:pPr>
        <w:pStyle w:val="Compact"/>
        <w:numPr>
          <w:ilvl w:val="0"/>
          <w:numId w:val="1013"/>
        </w:numPr>
      </w:pPr>
      <w:r>
        <w:t xml:space="preserve">complaints;</w:t>
      </w:r>
    </w:p>
    <w:p>
      <w:pPr>
        <w:pStyle w:val="Compact"/>
        <w:numPr>
          <w:ilvl w:val="0"/>
          <w:numId w:val="1013"/>
        </w:numPr>
      </w:pPr>
      <w:r>
        <w:t xml:space="preserve">incidents;</w:t>
      </w:r>
    </w:p>
    <w:p>
      <w:pPr>
        <w:pStyle w:val="Compact"/>
        <w:numPr>
          <w:ilvl w:val="0"/>
          <w:numId w:val="1013"/>
        </w:numPr>
      </w:pPr>
      <w:r>
        <w:t xml:space="preserve">control failures;</w:t>
      </w:r>
    </w:p>
    <w:p>
      <w:pPr>
        <w:pStyle w:val="Compact"/>
        <w:numPr>
          <w:ilvl w:val="0"/>
          <w:numId w:val="1013"/>
        </w:numPr>
      </w:pPr>
      <w:r>
        <w:t xml:space="preserve">vendor changes;</w:t>
      </w:r>
    </w:p>
    <w:p>
      <w:pPr>
        <w:pStyle w:val="Compact"/>
        <w:numPr>
          <w:ilvl w:val="0"/>
          <w:numId w:val="1013"/>
        </w:numPr>
      </w:pPr>
      <w:r>
        <w:t xml:space="preserve">model-version changes.</w:t>
      </w:r>
    </w:p>
    <w:p>
      <w:pPr>
        <w:pStyle w:val="FirstParagraph"/>
      </w:pPr>
      <w:r>
        <w:t xml:space="preserve">Reassessment should be triggered by material changes in:</w:t>
      </w:r>
    </w:p>
    <w:p>
      <w:pPr>
        <w:pStyle w:val="Compact"/>
        <w:numPr>
          <w:ilvl w:val="0"/>
          <w:numId w:val="1014"/>
        </w:numPr>
      </w:pPr>
      <w:r>
        <w:t xml:space="preserve">intended purpose;</w:t>
      </w:r>
    </w:p>
    <w:p>
      <w:pPr>
        <w:pStyle w:val="Compact"/>
        <w:numPr>
          <w:ilvl w:val="0"/>
          <w:numId w:val="1014"/>
        </w:numPr>
      </w:pPr>
      <w:r>
        <w:t xml:space="preserve">model;</w:t>
      </w:r>
    </w:p>
    <w:p>
      <w:pPr>
        <w:pStyle w:val="Compact"/>
        <w:numPr>
          <w:ilvl w:val="0"/>
          <w:numId w:val="1014"/>
        </w:numPr>
      </w:pPr>
      <w:r>
        <w:t xml:space="preserve">training or reference data;</w:t>
      </w:r>
    </w:p>
    <w:p>
      <w:pPr>
        <w:pStyle w:val="Compact"/>
        <w:numPr>
          <w:ilvl w:val="0"/>
          <w:numId w:val="1014"/>
        </w:numPr>
      </w:pPr>
      <w:r>
        <w:t xml:space="preserve">users;</w:t>
      </w:r>
    </w:p>
    <w:p>
      <w:pPr>
        <w:pStyle w:val="Compact"/>
        <w:numPr>
          <w:ilvl w:val="0"/>
          <w:numId w:val="1014"/>
        </w:numPr>
      </w:pPr>
      <w:r>
        <w:t xml:space="preserve">affected populations;</w:t>
      </w:r>
    </w:p>
    <w:p>
      <w:pPr>
        <w:pStyle w:val="Compact"/>
        <w:numPr>
          <w:ilvl w:val="0"/>
          <w:numId w:val="1014"/>
        </w:numPr>
      </w:pPr>
      <w:r>
        <w:t xml:space="preserve">integrations;</w:t>
      </w:r>
    </w:p>
    <w:p>
      <w:pPr>
        <w:pStyle w:val="Compact"/>
        <w:numPr>
          <w:ilvl w:val="0"/>
          <w:numId w:val="1014"/>
        </w:numPr>
      </w:pPr>
      <w:r>
        <w:t xml:space="preserve">vendors;</w:t>
      </w:r>
    </w:p>
    <w:p>
      <w:pPr>
        <w:pStyle w:val="Compact"/>
        <w:numPr>
          <w:ilvl w:val="0"/>
          <w:numId w:val="1014"/>
        </w:numPr>
      </w:pPr>
      <w:r>
        <w:t xml:space="preserve">regulatory requirements;</w:t>
      </w:r>
    </w:p>
    <w:p>
      <w:pPr>
        <w:pStyle w:val="Compact"/>
        <w:numPr>
          <w:ilvl w:val="0"/>
          <w:numId w:val="1014"/>
        </w:numPr>
      </w:pPr>
      <w:r>
        <w:t xml:space="preserve">operating environment.</w:t>
      </w:r>
    </w:p>
    <w:p>
      <w:r>
        <w:pict>
          <v:rect style="width:0;height:1.5pt" o:hralign="center" o:hrstd="t" o:hr="t"/>
        </w:pict>
      </w:r>
    </w:p>
    <w:bookmarkEnd w:id="20"/>
    <w:bookmarkStart w:id="21" w:name="X6001275feb2d96f75e5d6ace8bfda3768ef0c35"/>
    <w:p>
      <w:pPr>
        <w:pStyle w:val="Heading3"/>
      </w:pPr>
      <w:r>
        <w:t xml:space="preserve">2.12 Establish Evidence and Auditability Requirements</w:t>
      </w:r>
    </w:p>
    <w:p>
      <w:pPr>
        <w:pStyle w:val="FirstParagraph"/>
      </w:pPr>
      <w:r>
        <w:t xml:space="preserve">Ensure that Duckworks can demonstrate how material AI governance decisions were made.</w:t>
      </w:r>
    </w:p>
    <w:p>
      <w:pPr>
        <w:pStyle w:val="BodyText"/>
      </w:pPr>
      <w:r>
        <w:t xml:space="preserve">Required governance evidence may include:</w:t>
      </w:r>
    </w:p>
    <w:p>
      <w:pPr>
        <w:pStyle w:val="Compact"/>
        <w:numPr>
          <w:ilvl w:val="0"/>
          <w:numId w:val="1015"/>
        </w:numPr>
      </w:pPr>
      <w:r>
        <w:t xml:space="preserve">AI inventory records;</w:t>
      </w:r>
    </w:p>
    <w:p>
      <w:pPr>
        <w:pStyle w:val="Compact"/>
        <w:numPr>
          <w:ilvl w:val="0"/>
          <w:numId w:val="1015"/>
        </w:numPr>
      </w:pPr>
      <w:r>
        <w:t xml:space="preserve">risk assessments;</w:t>
      </w:r>
    </w:p>
    <w:p>
      <w:pPr>
        <w:pStyle w:val="Compact"/>
        <w:numPr>
          <w:ilvl w:val="0"/>
          <w:numId w:val="1015"/>
        </w:numPr>
      </w:pPr>
      <w:r>
        <w:t xml:space="preserve">impact assessments;</w:t>
      </w:r>
    </w:p>
    <w:p>
      <w:pPr>
        <w:pStyle w:val="Compact"/>
        <w:numPr>
          <w:ilvl w:val="0"/>
          <w:numId w:val="1015"/>
        </w:numPr>
      </w:pPr>
      <w:r>
        <w:t xml:space="preserve">approvals;</w:t>
      </w:r>
    </w:p>
    <w:p>
      <w:pPr>
        <w:pStyle w:val="Compact"/>
        <w:numPr>
          <w:ilvl w:val="0"/>
          <w:numId w:val="1015"/>
        </w:numPr>
      </w:pPr>
      <w:r>
        <w:t xml:space="preserve">testing results;</w:t>
      </w:r>
    </w:p>
    <w:p>
      <w:pPr>
        <w:pStyle w:val="Compact"/>
        <w:numPr>
          <w:ilvl w:val="0"/>
          <w:numId w:val="1015"/>
        </w:numPr>
      </w:pPr>
      <w:r>
        <w:t xml:space="preserve">validation records;</w:t>
      </w:r>
    </w:p>
    <w:p>
      <w:pPr>
        <w:pStyle w:val="Compact"/>
        <w:numPr>
          <w:ilvl w:val="0"/>
          <w:numId w:val="1015"/>
        </w:numPr>
      </w:pPr>
      <w:r>
        <w:t xml:space="preserve">security assessments;</w:t>
      </w:r>
    </w:p>
    <w:p>
      <w:pPr>
        <w:pStyle w:val="Compact"/>
        <w:numPr>
          <w:ilvl w:val="0"/>
          <w:numId w:val="1015"/>
        </w:numPr>
      </w:pPr>
      <w:r>
        <w:t xml:space="preserve">legal or privacy reviews;</w:t>
      </w:r>
    </w:p>
    <w:p>
      <w:pPr>
        <w:pStyle w:val="Compact"/>
        <w:numPr>
          <w:ilvl w:val="0"/>
          <w:numId w:val="1015"/>
        </w:numPr>
      </w:pPr>
      <w:r>
        <w:t xml:space="preserve">human-oversight procedures;</w:t>
      </w:r>
    </w:p>
    <w:p>
      <w:pPr>
        <w:pStyle w:val="Compact"/>
        <w:numPr>
          <w:ilvl w:val="0"/>
          <w:numId w:val="1015"/>
        </w:numPr>
      </w:pPr>
      <w:r>
        <w:t xml:space="preserve">monitoring records;</w:t>
      </w:r>
    </w:p>
    <w:p>
      <w:pPr>
        <w:pStyle w:val="Compact"/>
        <w:numPr>
          <w:ilvl w:val="0"/>
          <w:numId w:val="1015"/>
        </w:numPr>
      </w:pPr>
      <w:r>
        <w:t xml:space="preserve">incident records;</w:t>
      </w:r>
    </w:p>
    <w:p>
      <w:pPr>
        <w:pStyle w:val="Compact"/>
        <w:numPr>
          <w:ilvl w:val="0"/>
          <w:numId w:val="1015"/>
        </w:numPr>
      </w:pPr>
      <w:r>
        <w:t xml:space="preserve">committee decisions;</w:t>
      </w:r>
    </w:p>
    <w:p>
      <w:pPr>
        <w:pStyle w:val="Compact"/>
        <w:numPr>
          <w:ilvl w:val="0"/>
          <w:numId w:val="1015"/>
        </w:numPr>
      </w:pPr>
      <w:r>
        <w:t xml:space="preserve">exceptions and risk acceptances.</w:t>
      </w:r>
    </w:p>
    <w:p>
      <w:pPr>
        <w:pStyle w:val="FirstParagraph"/>
      </w:pPr>
      <w:r>
        <w:t xml:space="preserve">The objective is to move from:</w:t>
      </w:r>
    </w:p>
    <w:p>
      <w:pPr>
        <w:pStyle w:val="BlockText"/>
      </w:pPr>
      <w:r>
        <w:rPr>
          <w:b/>
          <w:bCs/>
        </w:rPr>
        <w:t xml:space="preserve">“We believe this AI system is controlled.”</w:t>
      </w:r>
    </w:p>
    <w:p>
      <w:pPr>
        <w:pStyle w:val="FirstParagraph"/>
      </w:pPr>
      <w:r>
        <w:t xml:space="preserve">to:</w:t>
      </w:r>
    </w:p>
    <w:p>
      <w:pPr>
        <w:pStyle w:val="BlockText"/>
      </w:pPr>
      <w:r>
        <w:rPr>
          <w:b/>
          <w:bCs/>
        </w:rPr>
        <w:t xml:space="preserve">“We can demonstrate how it is controlled and provide evidence that those controls operate.”</w:t>
      </w:r>
    </w:p>
    <w:p>
      <w:r>
        <w:pict>
          <v:rect style="width:0;height:1.5pt" o:hralign="center" o:hrstd="t" o:hr="t"/>
        </w:pict>
      </w:r>
    </w:p>
    <w:bookmarkEnd w:id="21"/>
    <w:bookmarkStart w:id="22" w:name="X582b61962360d2c16e2a5920c5ddf412158906f"/>
    <w:p>
      <w:pPr>
        <w:pStyle w:val="Heading3"/>
      </w:pPr>
      <w:r>
        <w:t xml:space="preserve">2.13 Support Regulatory and Standards Readiness</w:t>
      </w:r>
    </w:p>
    <w:p>
      <w:pPr>
        <w:pStyle w:val="FirstParagraph"/>
      </w:pPr>
      <w:r>
        <w:t xml:space="preserve">Create a governance model that can support assessment against relevant legislation, standards, and recognized frameworks.</w:t>
      </w:r>
    </w:p>
    <w:p>
      <w:pPr>
        <w:pStyle w:val="BodyText"/>
      </w:pPr>
      <w:r>
        <w:t xml:space="preserve">Project reference sources include, where applicable:</w:t>
      </w:r>
    </w:p>
    <w:p>
      <w:pPr>
        <w:pStyle w:val="Compact"/>
        <w:numPr>
          <w:ilvl w:val="0"/>
          <w:numId w:val="1016"/>
        </w:numPr>
      </w:pPr>
      <w:r>
        <w:t xml:space="preserve">EU Artificial Intelligence Act;</w:t>
      </w:r>
    </w:p>
    <w:p>
      <w:pPr>
        <w:pStyle w:val="Compact"/>
        <w:numPr>
          <w:ilvl w:val="0"/>
          <w:numId w:val="1016"/>
        </w:numPr>
      </w:pPr>
      <w:r>
        <w:t xml:space="preserve">GDPR;</w:t>
      </w:r>
    </w:p>
    <w:p>
      <w:pPr>
        <w:pStyle w:val="Compact"/>
        <w:numPr>
          <w:ilvl w:val="0"/>
          <w:numId w:val="1016"/>
        </w:numPr>
      </w:pPr>
      <w:r>
        <w:t xml:space="preserve">relevant employment and equality legislation;</w:t>
      </w:r>
    </w:p>
    <w:p>
      <w:pPr>
        <w:pStyle w:val="Compact"/>
        <w:numPr>
          <w:ilvl w:val="0"/>
          <w:numId w:val="1016"/>
        </w:numPr>
      </w:pPr>
      <w:r>
        <w:t xml:space="preserve">product-safety and cybersecurity legislation;</w:t>
      </w:r>
    </w:p>
    <w:p>
      <w:pPr>
        <w:pStyle w:val="Compact"/>
        <w:numPr>
          <w:ilvl w:val="0"/>
          <w:numId w:val="1016"/>
        </w:numPr>
      </w:pPr>
      <w:r>
        <w:t xml:space="preserve">ISO/IEC 42001;</w:t>
      </w:r>
    </w:p>
    <w:p>
      <w:pPr>
        <w:pStyle w:val="Compact"/>
        <w:numPr>
          <w:ilvl w:val="0"/>
          <w:numId w:val="1016"/>
        </w:numPr>
      </w:pPr>
      <w:r>
        <w:t xml:space="preserve">ISO/IEC 23894;</w:t>
      </w:r>
    </w:p>
    <w:p>
      <w:pPr>
        <w:pStyle w:val="Compact"/>
        <w:numPr>
          <w:ilvl w:val="0"/>
          <w:numId w:val="1016"/>
        </w:numPr>
      </w:pPr>
      <w:r>
        <w:t xml:space="preserve">ISO/IEC 42005;</w:t>
      </w:r>
    </w:p>
    <w:p>
      <w:pPr>
        <w:pStyle w:val="Compact"/>
        <w:numPr>
          <w:ilvl w:val="0"/>
          <w:numId w:val="1016"/>
        </w:numPr>
      </w:pPr>
      <w:r>
        <w:t xml:space="preserve">ISO/IEC 27001;</w:t>
      </w:r>
    </w:p>
    <w:p>
      <w:pPr>
        <w:pStyle w:val="Compact"/>
        <w:numPr>
          <w:ilvl w:val="0"/>
          <w:numId w:val="1016"/>
        </w:numPr>
      </w:pPr>
      <w:r>
        <w:t xml:space="preserve">NIST AI Risk Management Framework;</w:t>
      </w:r>
    </w:p>
    <w:p>
      <w:pPr>
        <w:pStyle w:val="Compact"/>
        <w:numPr>
          <w:ilvl w:val="0"/>
          <w:numId w:val="1016"/>
        </w:numPr>
      </w:pPr>
      <w:r>
        <w:t xml:space="preserve">recognized AI cybersecurity guidance.</w:t>
      </w:r>
    </w:p>
    <w:p>
      <w:pPr>
        <w:pStyle w:val="FirstParagraph"/>
      </w:pPr>
      <w:r>
        <w:t xml:space="preserve">The project does not seek to claim certification or automatic legal compliance.</w:t>
      </w:r>
    </w:p>
    <w:p>
      <w:pPr>
        <w:pStyle w:val="BodyText"/>
      </w:pPr>
      <w:r>
        <w:t xml:space="preserve">Instead, it aims to establish</w:t>
      </w:r>
      <w:r>
        <w:t xml:space="preserve"> </w:t>
      </w:r>
      <w:r>
        <w:rPr>
          <w:b/>
          <w:bCs/>
        </w:rPr>
        <w:t xml:space="preserve">traceable governance practices that can support future compliance and assurance activities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8340feced1a2903456be3a242076cf627cb0f0b"/>
    <w:p>
      <w:pPr>
        <w:pStyle w:val="Heading3"/>
      </w:pPr>
      <w:r>
        <w:t xml:space="preserve">2.14 Enable Management-Level AI Risk Reporting</w:t>
      </w:r>
    </w:p>
    <w:p>
      <w:pPr>
        <w:pStyle w:val="FirstParagraph"/>
      </w:pPr>
      <w:r>
        <w:t xml:space="preserve">Develop management reporting that provides decision-makers with a clear view of the Duckworks AI portfolio.</w:t>
      </w:r>
    </w:p>
    <w:p>
      <w:pPr>
        <w:pStyle w:val="BodyText"/>
      </w:pPr>
      <w:r>
        <w:t xml:space="preserve">Reporting should include:</w:t>
      </w:r>
    </w:p>
    <w:p>
      <w:pPr>
        <w:pStyle w:val="Compact"/>
        <w:numPr>
          <w:ilvl w:val="0"/>
          <w:numId w:val="1017"/>
        </w:numPr>
      </w:pPr>
      <w:r>
        <w:t xml:space="preserve">number of AI systems;</w:t>
      </w:r>
    </w:p>
    <w:p>
      <w:pPr>
        <w:pStyle w:val="Compact"/>
        <w:numPr>
          <w:ilvl w:val="0"/>
          <w:numId w:val="1017"/>
        </w:numPr>
      </w:pPr>
      <w:r>
        <w:t xml:space="preserve">systems by lifecycle stage;</w:t>
      </w:r>
    </w:p>
    <w:p>
      <w:pPr>
        <w:pStyle w:val="Compact"/>
        <w:numPr>
          <w:ilvl w:val="0"/>
          <w:numId w:val="1017"/>
        </w:numPr>
      </w:pPr>
      <w:r>
        <w:t xml:space="preserve">systems by risk level;</w:t>
      </w:r>
    </w:p>
    <w:p>
      <w:pPr>
        <w:pStyle w:val="Compact"/>
        <w:numPr>
          <w:ilvl w:val="0"/>
          <w:numId w:val="1017"/>
        </w:numPr>
      </w:pPr>
      <w:r>
        <w:t xml:space="preserve">systems awaiting approval;</w:t>
      </w:r>
    </w:p>
    <w:p>
      <w:pPr>
        <w:pStyle w:val="Compact"/>
        <w:numPr>
          <w:ilvl w:val="0"/>
          <w:numId w:val="1017"/>
        </w:numPr>
      </w:pPr>
      <w:r>
        <w:t xml:space="preserve">high and critical residual risks;</w:t>
      </w:r>
    </w:p>
    <w:p>
      <w:pPr>
        <w:pStyle w:val="Compact"/>
        <w:numPr>
          <w:ilvl w:val="0"/>
          <w:numId w:val="1017"/>
        </w:numPr>
      </w:pPr>
      <w:r>
        <w:t xml:space="preserve">overdue remediation actions;</w:t>
      </w:r>
    </w:p>
    <w:p>
      <w:pPr>
        <w:pStyle w:val="Compact"/>
        <w:numPr>
          <w:ilvl w:val="0"/>
          <w:numId w:val="1017"/>
        </w:numPr>
      </w:pPr>
      <w:r>
        <w:t xml:space="preserve">unassessed systems;</w:t>
      </w:r>
    </w:p>
    <w:p>
      <w:pPr>
        <w:pStyle w:val="Compact"/>
        <w:numPr>
          <w:ilvl w:val="0"/>
          <w:numId w:val="1017"/>
        </w:numPr>
      </w:pPr>
      <w:r>
        <w:t xml:space="preserve">third-party AI exposure;</w:t>
      </w:r>
    </w:p>
    <w:p>
      <w:pPr>
        <w:pStyle w:val="Compact"/>
        <w:numPr>
          <w:ilvl w:val="0"/>
          <w:numId w:val="1017"/>
        </w:numPr>
      </w:pPr>
      <w:r>
        <w:t xml:space="preserve">significant incidents;</w:t>
      </w:r>
    </w:p>
    <w:p>
      <w:pPr>
        <w:pStyle w:val="Compact"/>
        <w:numPr>
          <w:ilvl w:val="0"/>
          <w:numId w:val="1017"/>
        </w:numPr>
      </w:pPr>
      <w:r>
        <w:t xml:space="preserve">upcoming reassessments;</w:t>
      </w:r>
    </w:p>
    <w:p>
      <w:pPr>
        <w:pStyle w:val="Compact"/>
        <w:numPr>
          <w:ilvl w:val="0"/>
          <w:numId w:val="1017"/>
        </w:numPr>
      </w:pPr>
      <w:r>
        <w:t xml:space="preserve">control implementation status.</w:t>
      </w:r>
    </w:p>
    <w:p>
      <w:pPr>
        <w:pStyle w:val="FirstParagraph"/>
      </w:pPr>
      <w:r>
        <w:t xml:space="preserve">Management reporting should enable prioritization rather than simply presenting technical metrics.</w:t>
      </w:r>
    </w:p>
    <w:p>
      <w:r>
        <w:pict>
          <v:rect style="width:0;height:1.5pt" o:hralign="center" o:hrstd="t" o:hr="t"/>
        </w:pict>
      </w:r>
    </w:p>
    <w:bookmarkEnd w:id="23"/>
    <w:bookmarkStart w:id="24" w:name="X9031615f86d0036f94cdfb5d61c4b9c562fb502"/>
    <w:p>
      <w:pPr>
        <w:pStyle w:val="Heading3"/>
      </w:pPr>
      <w:r>
        <w:t xml:space="preserve">2.15 Prepare Duckworks for Independent Assurance</w:t>
      </w:r>
    </w:p>
    <w:p>
      <w:pPr>
        <w:pStyle w:val="FirstParagraph"/>
      </w:pPr>
      <w:r>
        <w:t xml:space="preserve">Design the governance framework so that Internal Audit or another independent assurance function can later evaluate whether the controls are:</w:t>
      </w:r>
    </w:p>
    <w:p>
      <w:pPr>
        <w:pStyle w:val="Compact"/>
        <w:numPr>
          <w:ilvl w:val="0"/>
          <w:numId w:val="1018"/>
        </w:numPr>
      </w:pPr>
      <w:r>
        <w:t xml:space="preserve">appropriately designed;</w:t>
      </w:r>
    </w:p>
    <w:p>
      <w:pPr>
        <w:pStyle w:val="Compact"/>
        <w:numPr>
          <w:ilvl w:val="0"/>
          <w:numId w:val="1018"/>
        </w:numPr>
      </w:pPr>
      <w:r>
        <w:t xml:space="preserve">implemented;</w:t>
      </w:r>
    </w:p>
    <w:p>
      <w:pPr>
        <w:pStyle w:val="Compact"/>
        <w:numPr>
          <w:ilvl w:val="0"/>
          <w:numId w:val="1018"/>
        </w:numPr>
      </w:pPr>
      <w:r>
        <w:t xml:space="preserve">operating consistently;</w:t>
      </w:r>
    </w:p>
    <w:p>
      <w:pPr>
        <w:pStyle w:val="Compact"/>
        <w:numPr>
          <w:ilvl w:val="0"/>
          <w:numId w:val="1018"/>
        </w:numPr>
      </w:pPr>
      <w:r>
        <w:t xml:space="preserve">supported by adequate evidence.</w:t>
      </w:r>
    </w:p>
    <w:p>
      <w:pPr>
        <w:pStyle w:val="FirstParagraph"/>
      </w:pPr>
      <w:r>
        <w:t xml:space="preserve">Internal Audit should remain independent and should not own the governance controls it may later assess.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arget-project-outcome"/>
    <w:p>
      <w:pPr>
        <w:pStyle w:val="Heading2"/>
      </w:pPr>
      <w:r>
        <w:t xml:space="preserve">3. Target Project Outcome</w:t>
      </w:r>
    </w:p>
    <w:p>
      <w:pPr>
        <w:pStyle w:val="FirstParagraph"/>
      </w:pPr>
      <w:r>
        <w:t xml:space="preserve">At the completion of the initial project, Duckworks should be able to demonstrate that each material AI system has:</w:t>
      </w:r>
    </w:p>
    <w:p>
      <w:pPr>
        <w:pStyle w:val="Compact"/>
        <w:numPr>
          <w:ilvl w:val="0"/>
          <w:numId w:val="1019"/>
        </w:numPr>
      </w:pPr>
      <w:r>
        <w:t xml:space="preserve">A documented intended purpose.</w:t>
      </w:r>
    </w:p>
    <w:p>
      <w:pPr>
        <w:pStyle w:val="Compact"/>
        <w:numPr>
          <w:ilvl w:val="0"/>
          <w:numId w:val="1019"/>
        </w:numPr>
      </w:pPr>
      <w:r>
        <w:t xml:space="preserve">An accountable business owner.</w:t>
      </w:r>
    </w:p>
    <w:p>
      <w:pPr>
        <w:pStyle w:val="Compact"/>
        <w:numPr>
          <w:ilvl w:val="0"/>
          <w:numId w:val="1019"/>
        </w:numPr>
      </w:pPr>
      <w:r>
        <w:t xml:space="preserve">An identified technical owner.</w:t>
      </w:r>
    </w:p>
    <w:p>
      <w:pPr>
        <w:pStyle w:val="Compact"/>
        <w:numPr>
          <w:ilvl w:val="0"/>
          <w:numId w:val="1019"/>
        </w:numPr>
      </w:pPr>
      <w:r>
        <w:t xml:space="preserve">A valid AI inventory record.</w:t>
      </w:r>
    </w:p>
    <w:p>
      <w:pPr>
        <w:pStyle w:val="Compact"/>
        <w:numPr>
          <w:ilvl w:val="0"/>
          <w:numId w:val="1019"/>
        </w:numPr>
      </w:pPr>
      <w:r>
        <w:t xml:space="preserve">A documented risk classification.</w:t>
      </w:r>
    </w:p>
    <w:p>
      <w:pPr>
        <w:pStyle w:val="Compact"/>
        <w:numPr>
          <w:ilvl w:val="0"/>
          <w:numId w:val="1019"/>
        </w:numPr>
      </w:pPr>
      <w:r>
        <w:t xml:space="preserve">A completed risk assessment where required.</w:t>
      </w:r>
    </w:p>
    <w:p>
      <w:pPr>
        <w:pStyle w:val="Compact"/>
        <w:numPr>
          <w:ilvl w:val="0"/>
          <w:numId w:val="1019"/>
        </w:numPr>
      </w:pPr>
      <w:r>
        <w:t xml:space="preserve">An impact assessment where required.</w:t>
      </w:r>
    </w:p>
    <w:p>
      <w:pPr>
        <w:pStyle w:val="Compact"/>
        <w:numPr>
          <w:ilvl w:val="0"/>
          <w:numId w:val="1019"/>
        </w:numPr>
      </w:pPr>
      <w:r>
        <w:t xml:space="preserve">Identified regulatory and framework considerations.</w:t>
      </w:r>
    </w:p>
    <w:p>
      <w:pPr>
        <w:pStyle w:val="Compact"/>
        <w:numPr>
          <w:ilvl w:val="0"/>
          <w:numId w:val="1019"/>
        </w:numPr>
      </w:pPr>
      <w:r>
        <w:t xml:space="preserve">Defined human-oversight arrangements.</w:t>
      </w:r>
    </w:p>
    <w:p>
      <w:pPr>
        <w:pStyle w:val="Compact"/>
        <w:numPr>
          <w:ilvl w:val="0"/>
          <w:numId w:val="1019"/>
        </w:numPr>
      </w:pPr>
      <w:r>
        <w:t xml:space="preserve">Required controls and control owners.</w:t>
      </w:r>
    </w:p>
    <w:p>
      <w:pPr>
        <w:pStyle w:val="Compact"/>
        <w:numPr>
          <w:ilvl w:val="0"/>
          <w:numId w:val="1019"/>
        </w:numPr>
      </w:pPr>
      <w:r>
        <w:t xml:space="preserve">A documented approval decision.</w:t>
      </w:r>
    </w:p>
    <w:p>
      <w:pPr>
        <w:pStyle w:val="Compact"/>
        <w:numPr>
          <w:ilvl w:val="0"/>
          <w:numId w:val="1019"/>
        </w:numPr>
      </w:pPr>
      <w:r>
        <w:t xml:space="preserve">Monitoring and reassessment requirements.</w:t>
      </w:r>
    </w:p>
    <w:p>
      <w:pPr>
        <w:pStyle w:val="Compact"/>
        <w:numPr>
          <w:ilvl w:val="0"/>
          <w:numId w:val="1019"/>
        </w:numPr>
      </w:pPr>
      <w:r>
        <w:t xml:space="preserve">Evidence supporting material governance decisions.</w:t>
      </w:r>
    </w:p>
    <w:p>
      <w:pPr>
        <w:pStyle w:val="Compact"/>
        <w:numPr>
          <w:ilvl w:val="0"/>
          <w:numId w:val="1019"/>
        </w:numPr>
      </w:pPr>
      <w:r>
        <w:t xml:space="preserve">A defined process for escalation, suspension, and retirement.</w:t>
      </w:r>
    </w:p>
    <w:p>
      <w:r>
        <w:pict>
          <v:rect style="width:0;height:1.5pt" o:hralign="center" o:hrstd="t" o:hr="t"/>
        </w:pict>
      </w:r>
    </w:p>
    <w:bookmarkEnd w:id="26"/>
    <w:bookmarkStart w:id="27" w:name="overall-success-principle"/>
    <w:p>
      <w:pPr>
        <w:pStyle w:val="Heading2"/>
      </w:pPr>
      <w:r>
        <w:t xml:space="preserve">4. Overall Success Principle</w:t>
      </w:r>
    </w:p>
    <w:p>
      <w:pPr>
        <w:pStyle w:val="FirstParagraph"/>
      </w:pPr>
      <w:r>
        <w:t xml:space="preserve">The Duckworks AI Governance Project will be considered successful when AI governance becomes an integrated business process rather than a one-time documentation exercise.</w:t>
      </w:r>
    </w:p>
    <w:p>
      <w:pPr>
        <w:pStyle w:val="BodyText"/>
      </w:pPr>
      <w:r>
        <w:t xml:space="preserve">The intended operating principle is:</w:t>
      </w:r>
    </w:p>
    <w:p>
      <w:pPr>
        <w:pStyle w:val="BlockText"/>
      </w:pPr>
      <w:r>
        <w:rPr>
          <w:b/>
          <w:bCs/>
        </w:rPr>
        <w:t xml:space="preserve">Every material AI use case should be known, owned, assessed, controlled, monitored, and evidenced in proportion to its potential impact.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