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112"/>
      </w:tblGrid>
      <w:tr>
        <w:tc>
          <w:tcPr>
            <w:tcW w:type="dxa" w:w="14112"/>
            <w:shd w:fill="18324A"/>
            <w:tcMar>
              <w:top w:w="170" w:type="dxa"/>
              <w:start w:w="180" w:type="dxa"/>
              <w:bottom w:w="160" w:type="dxa"/>
              <w:end w:w="180" w:type="dxa"/>
            </w:tcMar>
          </w:tcPr>
          <w:p>
            <w:pPr>
              <w:jc w:val="left"/>
            </w:pPr>
            <w:r>
              <w:rPr>
                <w:rFonts w:ascii="Aptos Display" w:hAnsi="Aptos Display"/>
                <w:b/>
                <w:color w:val="FFFFFF"/>
                <w:sz w:val="44"/>
              </w:rPr>
              <w:t>Duckworks AI Governance Project — Acceptance Criteria</w:t>
            </w:r>
          </w:p>
          <w:p>
            <w:r>
              <w:rPr>
                <w:rFonts w:ascii="Aptos" w:hAnsi="Aptos"/>
                <w:color w:val="DCE8EA"/>
                <w:sz w:val="20"/>
              </w:rPr>
              <w:t>Measurable completion conditions for the project, its core artifacts, and the initial seven-system governance baseline.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3528"/>
            <w:shd w:fill="EAF2F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b/>
                <w:color w:val="5C6670"/>
                <w:sz w:val="15"/>
              </w:rPr>
              <w:t>Document ID</w:t>
              <w:br/>
            </w:r>
            <w:r>
              <w:rPr>
                <w:color w:val="18324A"/>
                <w:sz w:val="18"/>
              </w:rPr>
              <w:t>DW-WING-CHTR-06</w:t>
            </w:r>
          </w:p>
        </w:tc>
        <w:tc>
          <w:tcPr>
            <w:tcW w:type="dxa" w:w="3528"/>
            <w:shd w:fill="EAF2F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b/>
                <w:color w:val="5C6670"/>
                <w:sz w:val="15"/>
              </w:rPr>
              <w:t>Version</w:t>
              <w:br/>
            </w:r>
            <w:r>
              <w:rPr>
                <w:color w:val="18324A"/>
                <w:sz w:val="18"/>
              </w:rPr>
              <w:t>1.0</w:t>
            </w:r>
          </w:p>
        </w:tc>
        <w:tc>
          <w:tcPr>
            <w:tcW w:type="dxa" w:w="3528"/>
            <w:shd w:fill="EAF2F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b/>
                <w:color w:val="5C6670"/>
                <w:sz w:val="15"/>
              </w:rPr>
              <w:t>Status</w:t>
              <w:br/>
            </w:r>
            <w:r>
              <w:rPr>
                <w:color w:val="18324A"/>
                <w:sz w:val="18"/>
              </w:rPr>
              <w:t>Portfolio Baseline</w:t>
            </w:r>
          </w:p>
        </w:tc>
        <w:tc>
          <w:tcPr>
            <w:tcW w:type="dxa" w:w="3528"/>
            <w:shd w:fill="EAF2F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b/>
                <w:color w:val="5C6670"/>
                <w:sz w:val="15"/>
              </w:rPr>
              <w:t>Organization</w:t>
              <w:br/>
            </w:r>
            <w:r>
              <w:rPr>
                <w:color w:val="18324A"/>
                <w:sz w:val="18"/>
              </w:rPr>
              <w:t>Duckworks</w:t>
            </w:r>
          </w:p>
        </w:tc>
      </w:tr>
    </w:tbl>
    <w:p/>
    <w:p>
      <w:pPr>
        <w:pStyle w:val="Heading1"/>
      </w:pPr>
      <w:r>
        <w:t>1. Purpose</w:t>
      </w:r>
    </w:p>
    <w:p>
      <w:pPr>
        <w:spacing w:after="140"/>
      </w:pPr>
      <w:r>
        <w:t>Acceptance criteria define the minimum conditions under which the initial Duckworks AI Governance Project can be considered complete and fit for portfolio demonstration. They are written as evidence-based criteria rather than subjective statements such as “looks good” or “appears compliant.”</w:t>
      </w:r>
    </w:p>
    <w:p>
      <w:pPr>
        <w:pStyle w:val="Callout"/>
      </w:pPr>
      <w:r>
        <w:t>Duckworks acceptance principle: “If a reviewer cannot point to the evidence, the criterion is not met.”</w:t>
      </w:r>
    </w:p>
    <w:p>
      <w:pPr>
        <w:pStyle w:val="Heading1"/>
      </w:pPr>
      <w:r>
        <w:t>2. Acceptance Status</w:t>
      </w:r>
    </w:p>
    <w:p>
      <w:pPr>
        <w:pStyle w:val="ListBullet"/>
        <w:spacing w:after="40"/>
      </w:pPr>
      <w:r>
        <w:rPr>
          <w:b/>
        </w:rPr>
        <w:t xml:space="preserve">Pass — </w:t>
      </w:r>
      <w:r>
        <w:t>criterion is fully met and evidence is available.</w:t>
      </w:r>
    </w:p>
    <w:p>
      <w:pPr>
        <w:pStyle w:val="ListBullet"/>
        <w:spacing w:after="40"/>
      </w:pPr>
      <w:r>
        <w:rPr>
          <w:b/>
        </w:rPr>
        <w:t xml:space="preserve">Pass with Action — </w:t>
      </w:r>
      <w:r>
        <w:t>criterion is materially met but a defined non-blocking action remains.</w:t>
      </w:r>
    </w:p>
    <w:p>
      <w:pPr>
        <w:pStyle w:val="ListBullet"/>
        <w:spacing w:after="40"/>
      </w:pPr>
      <w:r>
        <w:rPr>
          <w:b/>
        </w:rPr>
        <w:t xml:space="preserve">Fail — </w:t>
      </w:r>
      <w:r>
        <w:t>criterion is not met or evidence is insufficient.</w:t>
      </w:r>
    </w:p>
    <w:p>
      <w:pPr>
        <w:pStyle w:val="ListBullet"/>
        <w:spacing w:after="40"/>
      </w:pPr>
      <w:r>
        <w:rPr>
          <w:b/>
        </w:rPr>
        <w:t xml:space="preserve">Not Applicable — </w:t>
      </w:r>
      <w:r>
        <w:t>not relevant to the approved project scope; rationale must be recorded.</w:t>
      </w:r>
    </w:p>
    <w:p>
      <w:pPr>
        <w:pStyle w:val="Heading1"/>
      </w:pPr>
      <w:r>
        <w:t>3. Project-Level Acceptance Criteria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2"/>
        <w:gridCol w:w="2352"/>
        <w:gridCol w:w="2352"/>
        <w:gridCol w:w="2352"/>
        <w:gridCol w:w="2352"/>
        <w:gridCol w:w="2352"/>
      </w:tblGrid>
      <w:tr>
        <w:trPr>
          <w:tblHeader w:val="true"/>
        </w:trPr>
        <w:tc>
          <w:tcPr>
            <w:tcW w:type="dxa" w:w="792"/>
            <w:shd w:fill="18324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ID</w:t>
            </w:r>
          </w:p>
        </w:tc>
        <w:tc>
          <w:tcPr>
            <w:tcW w:type="dxa" w:w="1152"/>
            <w:shd w:fill="18324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Area</w:t>
            </w:r>
          </w:p>
        </w:tc>
        <w:tc>
          <w:tcPr>
            <w:tcW w:type="dxa" w:w="4536"/>
            <w:shd w:fill="18324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Acceptance Criterion</w:t>
            </w:r>
          </w:p>
        </w:tc>
        <w:tc>
          <w:tcPr>
            <w:tcW w:type="dxa" w:w="4032"/>
            <w:shd w:fill="18324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Required Evidence</w:t>
            </w:r>
          </w:p>
        </w:tc>
        <w:tc>
          <w:tcPr>
            <w:tcW w:type="dxa" w:w="1656"/>
            <w:shd w:fill="18324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Owner</w:t>
            </w:r>
          </w:p>
        </w:tc>
        <w:tc>
          <w:tcPr>
            <w:tcW w:type="dxa" w:w="1800"/>
            <w:shd w:fill="18324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Approver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AC-01</w:t>
            </w:r>
          </w:p>
        </w:tc>
        <w:tc>
          <w:tcPr>
            <w:tcW w:type="dxa" w:w="1152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Scope</w:t>
            </w:r>
          </w:p>
        </w:tc>
        <w:tc>
          <w:tcPr>
            <w:tcW w:type="dxa" w:w="453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All seven baseline entries are covered by the inventory and assessment pack.</w:t>
            </w:r>
          </w:p>
        </w:tc>
        <w:tc>
          <w:tcPr>
            <w:tcW w:type="dxa" w:w="4032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Inventory contains AI-001 through AI-007; no baseline entry omitted.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AI Governance Lead</w:t>
            </w:r>
          </w:p>
        </w:tc>
        <w:tc>
          <w:tcPr>
            <w:tcW w:type="dxa" w:w="18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CRCO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AC-02</w:t>
            </w:r>
          </w:p>
        </w:tc>
        <w:tc>
          <w:tcPr>
            <w:tcW w:type="dxa" w:w="1152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Ownership</w:t>
            </w:r>
          </w:p>
        </w:tc>
        <w:tc>
          <w:tcPr>
            <w:tcW w:type="dxa" w:w="4536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Every material AI system has a named business owner and technical owner, or an explicit governance exception.</w:t>
            </w:r>
          </w:p>
        </w:tc>
        <w:tc>
          <w:tcPr>
            <w:tcW w:type="dxa" w:w="4032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Inventory ownership fields completed; AI-007 explicitly treated as uncontrolled condition.</w:t>
            </w:r>
          </w:p>
        </w:tc>
        <w:tc>
          <w:tcPr>
            <w:tcW w:type="dxa" w:w="1656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AI Governance Lead</w:t>
            </w:r>
          </w:p>
        </w:tc>
        <w:tc>
          <w:tcPr>
            <w:tcW w:type="dxa" w:w="1800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CRCO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AC-03</w:t>
            </w:r>
          </w:p>
        </w:tc>
        <w:tc>
          <w:tcPr>
            <w:tcW w:type="dxa" w:w="1152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Purpose</w:t>
            </w:r>
          </w:p>
        </w:tc>
        <w:tc>
          <w:tcPr>
            <w:tcW w:type="dxa" w:w="453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Every governed system has a documented intended purpose and decision/support boundary.</w:t>
            </w:r>
          </w:p>
        </w:tc>
        <w:tc>
          <w:tcPr>
            <w:tcW w:type="dxa" w:w="4032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Inventory + system impact assessment.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System Owner</w:t>
            </w:r>
          </w:p>
        </w:tc>
        <w:tc>
          <w:tcPr>
            <w:tcW w:type="dxa" w:w="18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AI Governance Committee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AC-04</w:t>
            </w:r>
          </w:p>
        </w:tc>
        <w:tc>
          <w:tcPr>
            <w:tcW w:type="dxa" w:w="1152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Risk method</w:t>
            </w:r>
          </w:p>
        </w:tc>
        <w:tc>
          <w:tcPr>
            <w:tcW w:type="dxa" w:w="4536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Risk methodology defines severity, likelihood, thresholds, inherent/current/target residual risk, control credit, treatment, and escalation.</w:t>
            </w:r>
          </w:p>
        </w:tc>
        <w:tc>
          <w:tcPr>
            <w:tcW w:type="dxa" w:w="4032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Approved methodology document.</w:t>
            </w:r>
          </w:p>
        </w:tc>
        <w:tc>
          <w:tcPr>
            <w:tcW w:type="dxa" w:w="1656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Risk &amp; Compliance</w:t>
            </w:r>
          </w:p>
        </w:tc>
        <w:tc>
          <w:tcPr>
            <w:tcW w:type="dxa" w:w="1800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CRCO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AC-05</w:t>
            </w:r>
          </w:p>
        </w:tc>
        <w:tc>
          <w:tcPr>
            <w:tcW w:type="dxa" w:w="1152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Risk assessment</w:t>
            </w:r>
          </w:p>
        </w:tc>
        <w:tc>
          <w:tcPr>
            <w:tcW w:type="dxa" w:w="453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All seven entries have documented risk scenarios and current residual risk conclusions.</w:t>
            </w:r>
          </w:p>
        </w:tc>
        <w:tc>
          <w:tcPr>
            <w:tcW w:type="dxa" w:w="4032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Risk Assessment Report + workbook.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System Owner + Risk</w:t>
            </w:r>
          </w:p>
        </w:tc>
        <w:tc>
          <w:tcPr>
            <w:tcW w:type="dxa" w:w="18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AI Governance Committee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AC-06</w:t>
            </w:r>
          </w:p>
        </w:tc>
        <w:tc>
          <w:tcPr>
            <w:tcW w:type="dxa" w:w="1152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Impact assessment</w:t>
            </w:r>
          </w:p>
        </w:tc>
        <w:tc>
          <w:tcPr>
            <w:tcW w:type="dxa" w:w="4536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All seven entries have impact assessments that identify affected parties, benefits, adverse impacts, safeguards, monitoring, and decision.</w:t>
            </w:r>
          </w:p>
        </w:tc>
        <w:tc>
          <w:tcPr>
            <w:tcW w:type="dxa" w:w="4032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Seven AIA documents + pack index.</w:t>
            </w:r>
          </w:p>
        </w:tc>
        <w:tc>
          <w:tcPr>
            <w:tcW w:type="dxa" w:w="1656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System Owner + AI Governance</w:t>
            </w:r>
          </w:p>
        </w:tc>
        <w:tc>
          <w:tcPr>
            <w:tcW w:type="dxa" w:w="1800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AI Governance Committee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AC-07</w:t>
            </w:r>
          </w:p>
        </w:tc>
        <w:tc>
          <w:tcPr>
            <w:tcW w:type="dxa" w:w="1152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Legal separation</w:t>
            </w:r>
          </w:p>
        </w:tc>
        <w:tc>
          <w:tcPr>
            <w:tcW w:type="dxa" w:w="453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Internal risk classification is clearly separated from legal/regulatory classification.</w:t>
            </w:r>
          </w:p>
        </w:tc>
        <w:tc>
          <w:tcPr>
            <w:tcW w:type="dxa" w:w="4032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Methodology, assessments, and references use distinct terminology.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AI Governance Lead</w:t>
            </w:r>
          </w:p>
        </w:tc>
        <w:tc>
          <w:tcPr>
            <w:tcW w:type="dxa" w:w="18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General Counsel / CRCO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AC-08</w:t>
            </w:r>
          </w:p>
        </w:tc>
        <w:tc>
          <w:tcPr>
            <w:tcW w:type="dxa" w:w="1152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Critical risk handling</w:t>
            </w:r>
          </w:p>
        </w:tc>
        <w:tc>
          <w:tcPr>
            <w:tcW w:type="dxa" w:w="4536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No system with Critical current residual risk is described as cleared for unrestricted production.</w:t>
            </w:r>
          </w:p>
        </w:tc>
        <w:tc>
          <w:tcPr>
            <w:tcW w:type="dxa" w:w="4032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DuckTalent blocked; shadow AI containment decision recorded.</w:t>
            </w:r>
          </w:p>
        </w:tc>
        <w:tc>
          <w:tcPr>
            <w:tcW w:type="dxa" w:w="1656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System Owner</w:t>
            </w:r>
          </w:p>
        </w:tc>
        <w:tc>
          <w:tcPr>
            <w:tcW w:type="dxa" w:w="1800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CRCO / Executive escalation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AC-09</w:t>
            </w:r>
          </w:p>
        </w:tc>
        <w:tc>
          <w:tcPr>
            <w:tcW w:type="dxa" w:w="1152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Human oversight</w:t>
            </w:r>
          </w:p>
        </w:tc>
        <w:tc>
          <w:tcPr>
            <w:tcW w:type="dxa" w:w="453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High-impact systems document who can review, override, escalate, and stop AI-supported decisions.</w:t>
            </w:r>
          </w:p>
        </w:tc>
        <w:tc>
          <w:tcPr>
            <w:tcW w:type="dxa" w:w="4032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AIA + risk assessment + oversight requirements.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Business Owner</w:t>
            </w:r>
          </w:p>
        </w:tc>
        <w:tc>
          <w:tcPr>
            <w:tcW w:type="dxa" w:w="18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AI Governance Committee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AC-10</w:t>
            </w:r>
          </w:p>
        </w:tc>
        <w:tc>
          <w:tcPr>
            <w:tcW w:type="dxa" w:w="1152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Shadow AI</w:t>
            </w:r>
          </w:p>
        </w:tc>
        <w:tc>
          <w:tcPr>
            <w:tcW w:type="dxa" w:w="4536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Unregistered GenAI is treated as a discovery/containment problem and requires decomposition into individual use cases.</w:t>
            </w:r>
          </w:p>
        </w:tc>
        <w:tc>
          <w:tcPr>
            <w:tcW w:type="dxa" w:w="4032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AI-007 AIA + governance action.</w:t>
            </w:r>
          </w:p>
        </w:tc>
        <w:tc>
          <w:tcPr>
            <w:tcW w:type="dxa" w:w="1656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CISO / AI Governance</w:t>
            </w:r>
          </w:p>
        </w:tc>
        <w:tc>
          <w:tcPr>
            <w:tcW w:type="dxa" w:w="1800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CRCO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AC-11</w:t>
            </w:r>
          </w:p>
        </w:tc>
        <w:tc>
          <w:tcPr>
            <w:tcW w:type="dxa" w:w="1152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Sources</w:t>
            </w:r>
          </w:p>
        </w:tc>
        <w:tc>
          <w:tcPr>
            <w:tcW w:type="dxa" w:w="453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Public legal/framework claims used in the portfolio are traceable to authoritative sources.</w:t>
            </w:r>
          </w:p>
        </w:tc>
        <w:tc>
          <w:tcPr>
            <w:tcW w:type="dxa" w:w="4032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REFERENCES.md or equivalent source file.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AI Governance Lead</w:t>
            </w:r>
          </w:p>
        </w:tc>
        <w:tc>
          <w:tcPr>
            <w:tcW w:type="dxa" w:w="18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General Counsel / Risk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AC-12</w:t>
            </w:r>
          </w:p>
        </w:tc>
        <w:tc>
          <w:tcPr>
            <w:tcW w:type="dxa" w:w="1152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Confidentiality</w:t>
            </w:r>
          </w:p>
        </w:tc>
        <w:tc>
          <w:tcPr>
            <w:tcW w:type="dxa" w:w="4536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No real employer-confidential, customer, employee, applicant, or government data is required to understand the portfolio.</w:t>
            </w:r>
          </w:p>
        </w:tc>
        <w:tc>
          <w:tcPr>
            <w:tcW w:type="dxa" w:w="4032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Artifact review confirms fictional/synthetic data and disclaimer.</w:t>
            </w:r>
          </w:p>
        </w:tc>
        <w:tc>
          <w:tcPr>
            <w:tcW w:type="dxa" w:w="1656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AI Governance Lead</w:t>
            </w:r>
          </w:p>
        </w:tc>
        <w:tc>
          <w:tcPr>
            <w:tcW w:type="dxa" w:w="1800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Project Sponsor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AC-13</w:t>
            </w:r>
          </w:p>
        </w:tc>
        <w:tc>
          <w:tcPr>
            <w:tcW w:type="dxa" w:w="1152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Consistency</w:t>
            </w:r>
          </w:p>
        </w:tc>
        <w:tc>
          <w:tcPr>
            <w:tcW w:type="dxa" w:w="453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System names, owners, lifecycle states, risk ratings, and decisions are consistent across core documents.</w:t>
            </w:r>
          </w:p>
        </w:tc>
        <w:tc>
          <w:tcPr>
            <w:tcW w:type="dxa" w:w="4032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Cross-artifact QA checklist.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AI Governance Lead</w:t>
            </w:r>
          </w:p>
        </w:tc>
        <w:tc>
          <w:tcPr>
            <w:tcW w:type="dxa" w:w="18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Project Sponsor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AC-14</w:t>
            </w:r>
          </w:p>
        </w:tc>
        <w:tc>
          <w:tcPr>
            <w:tcW w:type="dxa" w:w="1152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Auditability</w:t>
            </w:r>
          </w:p>
        </w:tc>
        <w:tc>
          <w:tcPr>
            <w:tcW w:type="dxa" w:w="4536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Material conclusions identify evidence or expected evidence sufficient for later control testing.</w:t>
            </w:r>
          </w:p>
        </w:tc>
        <w:tc>
          <w:tcPr>
            <w:tcW w:type="dxa" w:w="4032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Control/evidence fields and assessment actions.</w:t>
            </w:r>
          </w:p>
        </w:tc>
        <w:tc>
          <w:tcPr>
            <w:tcW w:type="dxa" w:w="1656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Control Owner</w:t>
            </w:r>
          </w:p>
        </w:tc>
        <w:tc>
          <w:tcPr>
            <w:tcW w:type="dxa" w:w="1800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Internal Audit observer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AC-15</w:t>
            </w:r>
          </w:p>
        </w:tc>
        <w:tc>
          <w:tcPr>
            <w:tcW w:type="dxa" w:w="1152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Traceability</w:t>
            </w:r>
          </w:p>
        </w:tc>
        <w:tc>
          <w:tcPr>
            <w:tcW w:type="dxa" w:w="453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At least each High/Critical system can be traced from inventory -&gt; impact -&gt; risk -&gt; treatment/decision -&gt; monitoring requirement.</w:t>
            </w:r>
          </w:p>
        </w:tc>
        <w:tc>
          <w:tcPr>
            <w:tcW w:type="dxa" w:w="4032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Unique system IDs retained across artifacts.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AI Governance Lead</w:t>
            </w:r>
          </w:p>
        </w:tc>
        <w:tc>
          <w:tcPr>
            <w:tcW w:type="dxa" w:w="18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CRCO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AC-16</w:t>
            </w:r>
          </w:p>
        </w:tc>
        <w:tc>
          <w:tcPr>
            <w:tcW w:type="dxa" w:w="1152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Proportionality</w:t>
            </w:r>
          </w:p>
        </w:tc>
        <w:tc>
          <w:tcPr>
            <w:tcW w:type="dxa" w:w="4536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Governance requirements vary according to impact/risk rather than applying the same review intensity to every system.</w:t>
            </w:r>
          </w:p>
        </w:tc>
        <w:tc>
          <w:tcPr>
            <w:tcW w:type="dxa" w:w="4032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FeatherForecast vs DuckTalent/Shadow AI treatment demonstrates tiering.</w:t>
            </w:r>
          </w:p>
        </w:tc>
        <w:tc>
          <w:tcPr>
            <w:tcW w:type="dxa" w:w="1656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Risk &amp; Compliance</w:t>
            </w:r>
          </w:p>
        </w:tc>
        <w:tc>
          <w:tcPr>
            <w:tcW w:type="dxa" w:w="1800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AI Governance Committee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AC-17</w:t>
            </w:r>
          </w:p>
        </w:tc>
        <w:tc>
          <w:tcPr>
            <w:tcW w:type="dxa" w:w="1152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Independence</w:t>
            </w:r>
          </w:p>
        </w:tc>
        <w:tc>
          <w:tcPr>
            <w:tcW w:type="dxa" w:w="453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Internal Audit is not assigned operational ownership of controls it may later assure.</w:t>
            </w:r>
          </w:p>
        </w:tc>
        <w:tc>
          <w:tcPr>
            <w:tcW w:type="dxa" w:w="4032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Stakeholder/RACI review.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Head of Internal Audit</w:t>
            </w:r>
          </w:p>
        </w:tc>
        <w:tc>
          <w:tcPr>
            <w:tcW w:type="dxa" w:w="18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Audit &amp; Risk Committee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AC-18</w:t>
            </w:r>
          </w:p>
        </w:tc>
        <w:tc>
          <w:tcPr>
            <w:tcW w:type="dxa" w:w="1152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Change triggers</w:t>
            </w:r>
          </w:p>
        </w:tc>
        <w:tc>
          <w:tcPr>
            <w:tcW w:type="dxa" w:w="4536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Material changes in purpose, model, data, vendor, affected population, integration, or legal context trigger reassessment.</w:t>
            </w:r>
          </w:p>
        </w:tc>
        <w:tc>
          <w:tcPr>
            <w:tcW w:type="dxa" w:w="4032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Methodology + monitoring/reassessment requirement.</w:t>
            </w:r>
          </w:p>
        </w:tc>
        <w:tc>
          <w:tcPr>
            <w:tcW w:type="dxa" w:w="1656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AI Governance Lead</w:t>
            </w:r>
          </w:p>
        </w:tc>
        <w:tc>
          <w:tcPr>
            <w:tcW w:type="dxa" w:w="1800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CRCO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AC-19</w:t>
            </w:r>
          </w:p>
        </w:tc>
        <w:tc>
          <w:tcPr>
            <w:tcW w:type="dxa" w:w="1152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Management view</w:t>
            </w:r>
          </w:p>
        </w:tc>
        <w:tc>
          <w:tcPr>
            <w:tcW w:type="dxa" w:w="453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A management-level summary can identify portfolio size, lifecycle, high/critical risk, blocked systems, and priority actions without reading all detailed assessments.</w:t>
            </w:r>
          </w:p>
        </w:tc>
        <w:tc>
          <w:tcPr>
            <w:tcW w:type="dxa" w:w="4032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Dashboard / executive summary.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AI Governance Lead</w:t>
            </w:r>
          </w:p>
        </w:tc>
        <w:tc>
          <w:tcPr>
            <w:tcW w:type="dxa" w:w="18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CEO / CRCO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AC-20</w:t>
            </w:r>
          </w:p>
        </w:tc>
        <w:tc>
          <w:tcPr>
            <w:tcW w:type="dxa" w:w="1152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Portfolio usability</w:t>
            </w:r>
          </w:p>
        </w:tc>
        <w:tc>
          <w:tcPr>
            <w:tcW w:type="dxa" w:w="4536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A hiring manager can understand the scenario, methods, decisions, and limitations from the repository without private context.</w:t>
            </w:r>
          </w:p>
        </w:tc>
        <w:tc>
          <w:tcPr>
            <w:tcW w:type="dxa" w:w="4032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README / executive case study / structured folders.</w:t>
            </w:r>
          </w:p>
        </w:tc>
        <w:tc>
          <w:tcPr>
            <w:tcW w:type="dxa" w:w="1656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Portfolio Owner</w:t>
            </w:r>
          </w:p>
        </w:tc>
        <w:tc>
          <w:tcPr>
            <w:tcW w:type="dxa" w:w="1800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Project Sponsor</w:t>
            </w:r>
          </w:p>
        </w:tc>
      </w:tr>
    </w:tbl>
    <w:p/>
    <w:p>
      <w:pPr>
        <w:pStyle w:val="Heading1"/>
      </w:pPr>
      <w:r>
        <w:t>4. Artifact Quality Criteria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4"/>
        <w:gridCol w:w="4704"/>
        <w:gridCol w:w="4704"/>
      </w:tblGrid>
      <w:tr>
        <w:trPr>
          <w:tblHeader w:val="true"/>
        </w:trPr>
        <w:tc>
          <w:tcPr>
            <w:tcW w:type="dxa" w:w="936"/>
            <w:shd w:fill="18324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2016"/>
            <w:shd w:fill="18324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Quality Area</w:t>
            </w:r>
          </w:p>
        </w:tc>
        <w:tc>
          <w:tcPr>
            <w:tcW w:type="dxa" w:w="9648"/>
            <w:shd w:fill="18324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Criterion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6"/>
              </w:rPr>
              <w:t>Q-01</w:t>
            </w:r>
          </w:p>
        </w:tc>
        <w:tc>
          <w:tcPr>
            <w:tcW w:type="dxa" w:w="201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6"/>
              </w:rPr>
              <w:t>Versioning</w:t>
            </w:r>
          </w:p>
        </w:tc>
        <w:tc>
          <w:tcPr>
            <w:tcW w:type="dxa" w:w="964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6"/>
              </w:rPr>
              <w:t>Core artifacts carry a title, version, and document identifier.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6"/>
              </w:rPr>
              <w:t>Q-02</w:t>
            </w:r>
          </w:p>
        </w:tc>
        <w:tc>
          <w:tcPr>
            <w:tcW w:type="dxa" w:w="2016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6"/>
              </w:rPr>
              <w:t>Terminology</w:t>
            </w:r>
          </w:p>
        </w:tc>
        <w:tc>
          <w:tcPr>
            <w:tcW w:type="dxa" w:w="9648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6"/>
              </w:rPr>
              <w:t>Use “AI system,” “risk rating,” “legal classification,” “control,” and “impact” consistently.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6"/>
              </w:rPr>
              <w:t>Q-03</w:t>
            </w:r>
          </w:p>
        </w:tc>
        <w:tc>
          <w:tcPr>
            <w:tcW w:type="dxa" w:w="201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6"/>
              </w:rPr>
              <w:t>Assumptions</w:t>
            </w:r>
          </w:p>
        </w:tc>
        <w:tc>
          <w:tcPr>
            <w:tcW w:type="dxa" w:w="964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6"/>
              </w:rPr>
              <w:t>Material unknowns are labeled as assumptions rather than presented as verified facts.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6"/>
              </w:rPr>
              <w:t>Q-04</w:t>
            </w:r>
          </w:p>
        </w:tc>
        <w:tc>
          <w:tcPr>
            <w:tcW w:type="dxa" w:w="2016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6"/>
              </w:rPr>
              <w:t>Evidence</w:t>
            </w:r>
          </w:p>
        </w:tc>
        <w:tc>
          <w:tcPr>
            <w:tcW w:type="dxa" w:w="9648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6"/>
              </w:rPr>
              <w:t>Claims of control implementation are supported by evidence or explicitly marked planned/not validated.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6"/>
              </w:rPr>
              <w:t>Q-05</w:t>
            </w:r>
          </w:p>
        </w:tc>
        <w:tc>
          <w:tcPr>
            <w:tcW w:type="dxa" w:w="201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6"/>
              </w:rPr>
              <w:t>Decision clarity</w:t>
            </w:r>
          </w:p>
        </w:tc>
        <w:tc>
          <w:tcPr>
            <w:tcW w:type="dxa" w:w="964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6"/>
              </w:rPr>
              <w:t>Each impact assessment states a current lifecycle decision or restriction.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6"/>
              </w:rPr>
              <w:t>Q-06</w:t>
            </w:r>
          </w:p>
        </w:tc>
        <w:tc>
          <w:tcPr>
            <w:tcW w:type="dxa" w:w="2016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6"/>
              </w:rPr>
              <w:t>No false compliance claim</w:t>
            </w:r>
          </w:p>
        </w:tc>
        <w:tc>
          <w:tcPr>
            <w:tcW w:type="dxa" w:w="9648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6"/>
              </w:rPr>
              <w:t>Artifacts do not state that framework alignment equals certification or legal compliance.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6"/>
              </w:rPr>
              <w:t>Q-07</w:t>
            </w:r>
          </w:p>
        </w:tc>
        <w:tc>
          <w:tcPr>
            <w:tcW w:type="dxa" w:w="201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6"/>
              </w:rPr>
              <w:t>Readability</w:t>
            </w:r>
          </w:p>
        </w:tc>
        <w:tc>
          <w:tcPr>
            <w:tcW w:type="dxa" w:w="964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6"/>
              </w:rPr>
              <w:t>Tables are legible, headings are structured, and executive sections avoid unnecessary technical detail.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6"/>
              </w:rPr>
              <w:t>Q-08</w:t>
            </w:r>
          </w:p>
        </w:tc>
        <w:tc>
          <w:tcPr>
            <w:tcW w:type="dxa" w:w="2016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6"/>
              </w:rPr>
              <w:t>Portfolio disclaimer</w:t>
            </w:r>
          </w:p>
        </w:tc>
        <w:tc>
          <w:tcPr>
            <w:tcW w:type="dxa" w:w="9648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6"/>
              </w:rPr>
              <w:t>Each externally shareable artifact makes clear that Duckworks and its data are fictional.</w:t>
            </w:r>
          </w:p>
        </w:tc>
      </w:tr>
    </w:tbl>
    <w:p/>
    <w:p>
      <w:pPr>
        <w:pStyle w:val="Heading1"/>
      </w:pPr>
      <w:r>
        <w:t>5. System-Specific Release / Governance Gates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rPr>
          <w:tblHeader w:val="true"/>
        </w:trPr>
        <w:tc>
          <w:tcPr>
            <w:tcW w:type="dxa" w:w="1944"/>
            <w:shd w:fill="18324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System</w:t>
            </w:r>
          </w:p>
        </w:tc>
        <w:tc>
          <w:tcPr>
            <w:tcW w:type="dxa" w:w="2232"/>
            <w:shd w:fill="18324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Current Gate</w:t>
            </w:r>
          </w:p>
        </w:tc>
        <w:tc>
          <w:tcPr>
            <w:tcW w:type="dxa" w:w="7056"/>
            <w:shd w:fill="18324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Minimum Acceptance Conditions</w:t>
            </w:r>
          </w:p>
        </w:tc>
        <w:tc>
          <w:tcPr>
            <w:tcW w:type="dxa" w:w="1296"/>
            <w:shd w:fill="18324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Current Impact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5"/>
              </w:rPr>
              <w:t>DuckDesign AI</w:t>
            </w:r>
          </w:p>
        </w:tc>
        <w:tc>
          <w:tcPr>
            <w:tcW w:type="dxa" w:w="2232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5"/>
              </w:rPr>
              <w:t>Restricted pilot only</w:t>
            </w:r>
          </w:p>
        </w:tc>
        <w:tc>
          <w:tcPr>
            <w:tcW w:type="dxa" w:w="70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5"/>
              </w:rPr>
              <w:t>Competent engineer review; design validation; IP/data controls; no autonomous release to production design.</w:t>
            </w:r>
          </w:p>
        </w:tc>
        <w:tc>
          <w:tcPr>
            <w:tcW w:type="dxa" w:w="129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5"/>
              </w:rPr>
              <w:t>High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5"/>
              </w:rPr>
              <w:t>QuackBot</w:t>
            </w:r>
          </w:p>
        </w:tc>
        <w:tc>
          <w:tcPr>
            <w:tcW w:type="dxa" w:w="2232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5"/>
              </w:rPr>
              <w:t>Production blocked pending gates</w:t>
            </w:r>
          </w:p>
        </w:tc>
        <w:tc>
          <w:tcPr>
            <w:tcW w:type="dxa" w:w="7056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5"/>
              </w:rPr>
              <w:t>Prompt/RAG security testing; safe escalation; content boundaries; monitoring; customer-impact safeguards.</w:t>
            </w:r>
          </w:p>
        </w:tc>
        <w:tc>
          <w:tcPr>
            <w:tcW w:type="dxa" w:w="1296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5"/>
              </w:rPr>
              <w:t>High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5"/>
              </w:rPr>
              <w:t>FeatherForecast</w:t>
            </w:r>
          </w:p>
        </w:tc>
        <w:tc>
          <w:tcPr>
            <w:tcW w:type="dxa" w:w="2232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5"/>
              </w:rPr>
              <w:t>Continue with monitoring</w:t>
            </w:r>
          </w:p>
        </w:tc>
        <w:tc>
          <w:tcPr>
            <w:tcW w:type="dxa" w:w="70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5"/>
              </w:rPr>
              <w:t>Manager approval for material commitments; drift/performance monitoring; data-quality controls.</w:t>
            </w:r>
          </w:p>
        </w:tc>
        <w:tc>
          <w:tcPr>
            <w:tcW w:type="dxa" w:w="129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5"/>
              </w:rPr>
              <w:t>Moderate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5"/>
              </w:rPr>
              <w:t>WingInspect Vision</w:t>
            </w:r>
          </w:p>
        </w:tc>
        <w:tc>
          <w:tcPr>
            <w:tcW w:type="dxa" w:w="2232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5"/>
              </w:rPr>
              <w:t>Restricted pilot only</w:t>
            </w:r>
          </w:p>
        </w:tc>
        <w:tc>
          <w:tcPr>
            <w:tcW w:type="dxa" w:w="7056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5"/>
              </w:rPr>
              <w:t>Human inspector remains final authority; false-negative testing; no unvalidated safety-critical reliance.</w:t>
            </w:r>
          </w:p>
        </w:tc>
        <w:tc>
          <w:tcPr>
            <w:tcW w:type="dxa" w:w="1296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5"/>
              </w:rPr>
              <w:t>High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5"/>
              </w:rPr>
              <w:t>DuckTalent AI</w:t>
            </w:r>
          </w:p>
        </w:tc>
        <w:tc>
          <w:tcPr>
            <w:tcW w:type="dxa" w:w="2232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5"/>
              </w:rPr>
              <w:t>Do not deploy in current state</w:t>
            </w:r>
          </w:p>
        </w:tc>
        <w:tc>
          <w:tcPr>
            <w:tcW w:type="dxa" w:w="70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5"/>
              </w:rPr>
              <w:t>Enhanced legal/privacy/fairness analysis; meaningful human review; bias testing; transparency/contestability; critical risk reduced.</w:t>
            </w:r>
          </w:p>
        </w:tc>
        <w:tc>
          <w:tcPr>
            <w:tcW w:type="dxa" w:w="129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5"/>
              </w:rPr>
              <w:t>Critical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5"/>
              </w:rPr>
              <w:t>PondGPT</w:t>
            </w:r>
          </w:p>
        </w:tc>
        <w:tc>
          <w:tcPr>
            <w:tcW w:type="dxa" w:w="2232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5"/>
              </w:rPr>
              <w:t>Restricted pilot only</w:t>
            </w:r>
          </w:p>
        </w:tc>
        <w:tc>
          <w:tcPr>
            <w:tcW w:type="dxa" w:w="7056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5"/>
              </w:rPr>
              <w:t>Enterprise access enforcement; sensitive repository exclusions; prompt/RAG security; logging; acceptable-use controls.</w:t>
            </w:r>
          </w:p>
        </w:tc>
        <w:tc>
          <w:tcPr>
            <w:tcW w:type="dxa" w:w="1296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5"/>
              </w:rPr>
              <w:t>High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5"/>
              </w:rPr>
              <w:t>Unregistered GenAI Usage</w:t>
            </w:r>
          </w:p>
        </w:tc>
        <w:tc>
          <w:tcPr>
            <w:tcW w:type="dxa" w:w="2232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5"/>
              </w:rPr>
              <w:t>Immediate containment</w:t>
            </w:r>
          </w:p>
        </w:tc>
        <w:tc>
          <w:tcPr>
            <w:tcW w:type="dxa" w:w="70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5"/>
              </w:rPr>
              <w:t>Discover use cases; prevent sensitive uploads; approve tools; register material uses; investigate exposure.</w:t>
            </w:r>
          </w:p>
        </w:tc>
        <w:tc>
          <w:tcPr>
            <w:tcW w:type="dxa" w:w="129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5"/>
              </w:rPr>
              <w:t>Critical</w:t>
            </w:r>
          </w:p>
        </w:tc>
      </w:tr>
    </w:tbl>
    <w:p/>
    <w:p>
      <w:pPr>
        <w:pStyle w:val="Heading1"/>
      </w:pPr>
      <w:r>
        <w:t>6. Formal Project Acceptance</w:t>
      </w:r>
    </w:p>
    <w:p>
      <w:pPr>
        <w:spacing w:after="140"/>
      </w:pPr>
      <w:r>
        <w:t>The project may be accepted when all blocking project-level criteria are marked Pass, any Pass-with-Action items have named owners and due dates, and no unresolved inconsistency undermines a Critical/High system decision. Acceptance of the governance project does not constitute approval of every AI system for production.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056"/>
        <w:gridCol w:w="7056"/>
      </w:tblGrid>
      <w:tr>
        <w:trPr>
          <w:tblHeader w:val="true"/>
        </w:trPr>
        <w:tc>
          <w:tcPr>
            <w:tcW w:type="dxa" w:w="4320"/>
            <w:shd w:fill="18324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Acceptance Role</w:t>
            </w:r>
          </w:p>
        </w:tc>
        <w:tc>
          <w:tcPr>
            <w:tcW w:type="dxa" w:w="7920"/>
            <w:shd w:fill="18324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Acceptance Focus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6"/>
              </w:rPr>
              <w:t>Project Sponsor — Dr. Mallory Duckworth</w:t>
            </w:r>
          </w:p>
        </w:tc>
        <w:tc>
          <w:tcPr>
            <w:tcW w:type="dxa" w:w="792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6"/>
              </w:rPr>
              <w:t>Confirms business objectives and portfolio usability.</w:t>
            </w:r>
          </w:p>
        </w:tc>
      </w:tr>
      <w:tr>
        <w:trPr>
          <w:cantSplit/>
        </w:trPr>
        <w:tc>
          <w:tcPr>
            <w:tcW w:type="dxa" w:w="4320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6"/>
              </w:rPr>
              <w:t>Governance Sponsor — Reginald Duckman</w:t>
            </w:r>
          </w:p>
        </w:tc>
        <w:tc>
          <w:tcPr>
            <w:tcW w:type="dxa" w:w="7920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6"/>
              </w:rPr>
              <w:t>Confirms governance model, risk method, and acceptance status.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6"/>
              </w:rPr>
              <w:t>Technology Executive — Prof. Archibald McDuck</w:t>
            </w:r>
          </w:p>
        </w:tc>
        <w:tc>
          <w:tcPr>
            <w:tcW w:type="dxa" w:w="792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6"/>
              </w:rPr>
              <w:t>Confirms technical feasibility and ownership model.</w:t>
            </w:r>
          </w:p>
        </w:tc>
      </w:tr>
      <w:tr>
        <w:trPr>
          <w:cantSplit/>
        </w:trPr>
        <w:tc>
          <w:tcPr>
            <w:tcW w:type="dxa" w:w="4320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6"/>
              </w:rPr>
              <w:t>CISO — Cassandra Duckley</w:t>
            </w:r>
          </w:p>
        </w:tc>
        <w:tc>
          <w:tcPr>
            <w:tcW w:type="dxa" w:w="7920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6"/>
              </w:rPr>
              <w:t>Confirms security governance requirements are represented.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6"/>
              </w:rPr>
              <w:t>Head of Internal Audit — Penelope Duckins</w:t>
            </w:r>
          </w:p>
        </w:tc>
        <w:tc>
          <w:tcPr>
            <w:tcW w:type="dxa" w:w="792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6"/>
              </w:rPr>
              <w:t>Acknowledges assurance-readiness design while retaining independence.</w:t>
            </w:r>
          </w:p>
        </w:tc>
      </w:tr>
    </w:tbl>
    <w:p/>
    <w:p>
      <w:pPr>
        <w:pStyle w:val="Heading1"/>
      </w:pPr>
      <w:r>
        <w:t>Portfolio Disclaimer</w:t>
      </w:r>
    </w:p>
    <w:p>
      <w:pPr>
        <w:pStyle w:val="Callout"/>
      </w:pPr>
      <w:r>
        <w:t>Duckworks, Project W.I.N.G., all personnel, committees, systems, datasets, decisions, and evidence referenced in this document are fictional and were created solely for educational and professional portfolio purposes.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792" w:right="864" w:bottom="720" w:left="864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ptos" w:hAnsi="Aptos"/>
        <w:color w:val="5C6670"/>
        <w:sz w:val="16"/>
      </w:rPr>
      <w:t>DW-WING-CHTR-06  |  Version 1.0  |  Fictional portfolio project</w:t>
    </w:r>
  </w:p>
  <w:p>
    <w:pPr>
      <w:jc w:val="right"/>
    </w:pPr>
    <w:r>
      <w:rPr>
        <w:color w:val="5C6670"/>
        <w:sz w:val="16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b/>
        <w:color w:val="2F6F6D"/>
        <w:sz w:val="16"/>
      </w:rPr>
      <w:t>DUCKWORKS  |  PROJECT W.I.N.G.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1832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2F6F6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5C667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8324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80" w:after="160"/>
      <w:ind w:left="360" w:right="360"/>
    </w:pPr>
    <w:rPr>
      <w:rFonts w:ascii="Aptos" w:hAnsi="Aptos"/>
      <w:i/>
      <w:color w:val="2F6F6D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