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112"/>
      </w:tblGrid>
      <w:tr>
        <w:tc>
          <w:tcPr>
            <w:tcW w:type="dxa" w:w="14112"/>
            <w:shd w:fill="18324A"/>
            <w:tcMar>
              <w:top w:w="170" w:type="dxa"/>
              <w:start w:w="180" w:type="dxa"/>
              <w:bottom w:w="160" w:type="dxa"/>
              <w:end w:w="180" w:type="dxa"/>
            </w:tcMar>
          </w:tcPr>
          <w:p>
            <w:pPr>
              <w:jc w:val="left"/>
            </w:pPr>
            <w:r>
              <w:rPr>
                <w:rFonts w:ascii="Aptos Display" w:hAnsi="Aptos Display"/>
                <w:b/>
                <w:color w:val="FFFFFF"/>
                <w:sz w:val="44"/>
              </w:rPr>
              <w:t>Duckworks AI Governance Project — Assumptions Register</w:t>
            </w:r>
          </w:p>
          <w:p>
            <w:r>
              <w:rPr>
                <w:rFonts w:ascii="Aptos" w:hAnsi="Aptos"/>
                <w:color w:val="DCE8EA"/>
                <w:sz w:val="20"/>
              </w:rPr>
              <w:t>Controlled assumptions that define the portfolio scenario, scope, scoring context, and evidence boundaries.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528"/>
        <w:gridCol w:w="3528"/>
        <w:gridCol w:w="3528"/>
        <w:gridCol w:w="3528"/>
      </w:tblGrid>
      <w:tr>
        <w:tc>
          <w:tcPr>
            <w:tcW w:type="dxa" w:w="3528"/>
            <w:shd w:fill="EAF2F1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b/>
                <w:color w:val="5C6670"/>
                <w:sz w:val="15"/>
              </w:rPr>
              <w:t>Document ID</w:t>
              <w:br/>
            </w:r>
            <w:r>
              <w:rPr>
                <w:color w:val="18324A"/>
                <w:sz w:val="18"/>
              </w:rPr>
              <w:t>DW-WING-CHTR-04</w:t>
            </w:r>
          </w:p>
        </w:tc>
        <w:tc>
          <w:tcPr>
            <w:tcW w:type="dxa" w:w="3528"/>
            <w:shd w:fill="EAF2F1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b/>
                <w:color w:val="5C6670"/>
                <w:sz w:val="15"/>
              </w:rPr>
              <w:t>Version</w:t>
              <w:br/>
            </w:r>
            <w:r>
              <w:rPr>
                <w:color w:val="18324A"/>
                <w:sz w:val="18"/>
              </w:rPr>
              <w:t>1.0</w:t>
            </w:r>
          </w:p>
        </w:tc>
        <w:tc>
          <w:tcPr>
            <w:tcW w:type="dxa" w:w="3528"/>
            <w:shd w:fill="EAF2F1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b/>
                <w:color w:val="5C6670"/>
                <w:sz w:val="15"/>
              </w:rPr>
              <w:t>Status</w:t>
              <w:br/>
            </w:r>
            <w:r>
              <w:rPr>
                <w:color w:val="18324A"/>
                <w:sz w:val="18"/>
              </w:rPr>
              <w:t>Portfolio Baseline</w:t>
            </w:r>
          </w:p>
        </w:tc>
        <w:tc>
          <w:tcPr>
            <w:tcW w:type="dxa" w:w="3528"/>
            <w:shd w:fill="EAF2F1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b/>
                <w:color w:val="5C6670"/>
                <w:sz w:val="15"/>
              </w:rPr>
              <w:t>Organization</w:t>
              <w:br/>
            </w:r>
            <w:r>
              <w:rPr>
                <w:color w:val="18324A"/>
                <w:sz w:val="18"/>
              </w:rPr>
              <w:t>Duckworks</w:t>
            </w:r>
          </w:p>
        </w:tc>
      </w:tr>
    </w:tbl>
    <w:p/>
    <w:p>
      <w:pPr>
        <w:pStyle w:val="Heading1"/>
      </w:pPr>
      <w:r>
        <w:t>1. Purpose</w:t>
      </w:r>
    </w:p>
    <w:p>
      <w:pPr>
        <w:spacing w:after="140"/>
      </w:pPr>
      <w:r>
        <w:t>This register records the assumptions used to design the initial Duckworks AI governance program. Assumptions are not treated as facts: each material assumption should either be validated, converted into a confirmed project fact, or retained as an explicit limitation in the final assessment record.</w:t>
      </w:r>
    </w:p>
    <w:p>
      <w:pPr>
        <w:pStyle w:val="Callout"/>
      </w:pPr>
      <w:r>
        <w:t>Duckworks rule: an assumption that changes intended purpose, affected persons, legal role, safety impact, data category, or degree of automation can change the entire assessment and must trigger review.</w:t>
      </w:r>
    </w:p>
    <w:p>
      <w:pPr>
        <w:pStyle w:val="Heading1"/>
      </w:pPr>
      <w:r>
        <w:t>2. Assumption Status</w:t>
      </w:r>
    </w:p>
    <w:p>
      <w:pPr>
        <w:pStyle w:val="ListBullet"/>
        <w:spacing w:after="40"/>
      </w:pPr>
      <w:r>
        <w:rPr>
          <w:b/>
        </w:rPr>
        <w:t xml:space="preserve">Open — </w:t>
      </w:r>
      <w:r>
        <w:t>used for planning but not yet validated.</w:t>
      </w:r>
    </w:p>
    <w:p>
      <w:pPr>
        <w:pStyle w:val="ListBullet"/>
        <w:spacing w:after="40"/>
      </w:pPr>
      <w:r>
        <w:rPr>
          <w:b/>
        </w:rPr>
        <w:t xml:space="preserve">Validated — </w:t>
      </w:r>
      <w:r>
        <w:t>supported by project evidence or an approved scenario decision.</w:t>
      </w:r>
    </w:p>
    <w:p>
      <w:pPr>
        <w:pStyle w:val="ListBullet"/>
        <w:spacing w:after="40"/>
      </w:pPr>
      <w:r>
        <w:rPr>
          <w:b/>
        </w:rPr>
        <w:t xml:space="preserve">Superseded — </w:t>
      </w:r>
      <w:r>
        <w:t>replaced by a newer fact or assumption.</w:t>
      </w:r>
    </w:p>
    <w:p>
      <w:pPr>
        <w:pStyle w:val="ListBullet"/>
        <w:spacing w:after="40"/>
      </w:pPr>
      <w:r>
        <w:rPr>
          <w:b/>
        </w:rPr>
        <w:t xml:space="preserve">Critical — </w:t>
      </w:r>
      <w:r>
        <w:t>if incorrect, could materially change risk, impact, or governance conclusions.</w:t>
      </w:r>
    </w:p>
    <w:p>
      <w:pPr>
        <w:pStyle w:val="Heading1"/>
      </w:pPr>
      <w:r>
        <w:t>3. Assumptions Register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  <w:gridCol w:w="2016"/>
        <w:gridCol w:w="2016"/>
      </w:tblGrid>
      <w:tr>
        <w:trPr>
          <w:tblHeader w:val="true"/>
        </w:trPr>
        <w:tc>
          <w:tcPr>
            <w:tcW w:type="dxa" w:w="792"/>
            <w:shd w:fill="18324A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ID</w:t>
            </w:r>
          </w:p>
        </w:tc>
        <w:tc>
          <w:tcPr>
            <w:tcW w:type="dxa" w:w="1080"/>
            <w:shd w:fill="18324A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Category</w:t>
            </w:r>
          </w:p>
        </w:tc>
        <w:tc>
          <w:tcPr>
            <w:tcW w:type="dxa" w:w="4608"/>
            <w:shd w:fill="18324A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Assumption</w:t>
            </w:r>
          </w:p>
        </w:tc>
        <w:tc>
          <w:tcPr>
            <w:tcW w:type="dxa" w:w="1008"/>
            <w:shd w:fill="18324A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Status</w:t>
            </w:r>
          </w:p>
        </w:tc>
        <w:tc>
          <w:tcPr>
            <w:tcW w:type="dxa" w:w="1080"/>
            <w:shd w:fill="18324A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Materiality</w:t>
            </w:r>
          </w:p>
        </w:tc>
        <w:tc>
          <w:tcPr>
            <w:tcW w:type="dxa" w:w="3096"/>
            <w:shd w:fill="18324A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Why It Matters</w:t>
            </w:r>
          </w:p>
        </w:tc>
        <w:tc>
          <w:tcPr>
            <w:tcW w:type="dxa" w:w="2160"/>
            <w:shd w:fill="18324A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Validation / Evidence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24A"/>
                <w:sz w:val="14"/>
              </w:rPr>
              <w:t>ASM-001</w:t>
            </w:r>
          </w:p>
        </w:tc>
        <w:tc>
          <w:tcPr>
            <w:tcW w:type="dxa" w:w="108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24A"/>
                <w:sz w:val="14"/>
              </w:rPr>
              <w:t>Organization</w:t>
            </w:r>
          </w:p>
        </w:tc>
        <w:tc>
          <w:tcPr>
            <w:tcW w:type="dxa" w:w="4608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24A"/>
                <w:sz w:val="14"/>
              </w:rPr>
              <w:t>Duckworks is a fictional European company employing approximately 1,200 people.</w:t>
            </w:r>
          </w:p>
        </w:tc>
        <w:tc>
          <w:tcPr>
            <w:tcW w:type="dxa" w:w="1008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24A"/>
                <w:sz w:val="14"/>
              </w:rPr>
              <w:t>Validated</w:t>
            </w:r>
          </w:p>
        </w:tc>
        <w:tc>
          <w:tcPr>
            <w:tcW w:type="dxa" w:w="108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24A"/>
                <w:sz w:val="14"/>
              </w:rPr>
              <w:t>Medium</w:t>
            </w:r>
          </w:p>
        </w:tc>
        <w:tc>
          <w:tcPr>
            <w:tcW w:type="dxa" w:w="3096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24A"/>
                <w:sz w:val="14"/>
              </w:rPr>
              <w:t>Defines organizational scale and scenario complexity.</w:t>
            </w:r>
          </w:p>
        </w:tc>
        <w:tc>
          <w:tcPr>
            <w:tcW w:type="dxa" w:w="216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24A"/>
                <w:sz w:val="14"/>
              </w:rPr>
              <w:t>Project charter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6F8FA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24A"/>
                <w:sz w:val="14"/>
              </w:rPr>
              <w:t>ASM-002</w:t>
            </w:r>
          </w:p>
        </w:tc>
        <w:tc>
          <w:tcPr>
            <w:tcW w:type="dxa" w:w="1080"/>
            <w:vAlign w:val="center"/>
            <w:shd w:fill="F6F8FA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24A"/>
                <w:sz w:val="14"/>
              </w:rPr>
              <w:t>Geography</w:t>
            </w:r>
          </w:p>
        </w:tc>
        <w:tc>
          <w:tcPr>
            <w:tcW w:type="dxa" w:w="4608"/>
            <w:vAlign w:val="center"/>
            <w:shd w:fill="F6F8FA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24A"/>
                <w:sz w:val="14"/>
              </w:rPr>
              <w:t>Duckworks operates primarily in the EU/EEA and sells products into European markets.</w:t>
            </w:r>
          </w:p>
        </w:tc>
        <w:tc>
          <w:tcPr>
            <w:tcW w:type="dxa" w:w="1008"/>
            <w:vAlign w:val="center"/>
            <w:shd w:fill="F6F8FA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24A"/>
                <w:sz w:val="14"/>
              </w:rPr>
              <w:t>Open</w:t>
            </w:r>
          </w:p>
        </w:tc>
        <w:tc>
          <w:tcPr>
            <w:tcW w:type="dxa" w:w="1080"/>
            <w:vAlign w:val="center"/>
            <w:shd w:fill="F6F8FA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24A"/>
                <w:sz w:val="14"/>
              </w:rPr>
              <w:t>High</w:t>
            </w:r>
          </w:p>
        </w:tc>
        <w:tc>
          <w:tcPr>
            <w:tcW w:type="dxa" w:w="3096"/>
            <w:vAlign w:val="center"/>
            <w:shd w:fill="F6F8FA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24A"/>
                <w:sz w:val="14"/>
              </w:rPr>
              <w:t>Drives EU regulatory screening and data/privacy considerations.</w:t>
            </w:r>
          </w:p>
        </w:tc>
        <w:tc>
          <w:tcPr>
            <w:tcW w:type="dxa" w:w="2160"/>
            <w:vAlign w:val="center"/>
            <w:shd w:fill="F6F8FA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24A"/>
                <w:sz w:val="14"/>
              </w:rPr>
              <w:t>Validate jurisdiction per use case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24A"/>
                <w:sz w:val="14"/>
              </w:rPr>
              <w:t>ASM-003</w:t>
            </w:r>
          </w:p>
        </w:tc>
        <w:tc>
          <w:tcPr>
            <w:tcW w:type="dxa" w:w="108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24A"/>
                <w:sz w:val="14"/>
              </w:rPr>
              <w:t>Governance maturity</w:t>
            </w:r>
          </w:p>
        </w:tc>
        <w:tc>
          <w:tcPr>
            <w:tcW w:type="dxa" w:w="4608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24A"/>
                <w:sz w:val="14"/>
              </w:rPr>
              <w:t>Duckworks has mature general security/risk processes but no established enterprise AI governance framework at project start.</w:t>
            </w:r>
          </w:p>
        </w:tc>
        <w:tc>
          <w:tcPr>
            <w:tcW w:type="dxa" w:w="1008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24A"/>
                <w:sz w:val="14"/>
              </w:rPr>
              <w:t>Validated</w:t>
            </w:r>
          </w:p>
        </w:tc>
        <w:tc>
          <w:tcPr>
            <w:tcW w:type="dxa" w:w="108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24A"/>
                <w:sz w:val="14"/>
              </w:rPr>
              <w:t>High</w:t>
            </w:r>
          </w:p>
        </w:tc>
        <w:tc>
          <w:tcPr>
            <w:tcW w:type="dxa" w:w="3096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24A"/>
                <w:sz w:val="14"/>
              </w:rPr>
              <w:t>Justifies a readiness and operating-model project rather than a greenfield ERM redesign.</w:t>
            </w:r>
          </w:p>
        </w:tc>
        <w:tc>
          <w:tcPr>
            <w:tcW w:type="dxa" w:w="216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24A"/>
                <w:sz w:val="14"/>
              </w:rPr>
              <w:t>Business scenario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6F8FA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24A"/>
                <w:sz w:val="14"/>
              </w:rPr>
              <w:t>ASM-004</w:t>
            </w:r>
          </w:p>
        </w:tc>
        <w:tc>
          <w:tcPr>
            <w:tcW w:type="dxa" w:w="1080"/>
            <w:vAlign w:val="center"/>
            <w:shd w:fill="F6F8FA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24A"/>
                <w:sz w:val="14"/>
              </w:rPr>
              <w:t>AI portfolio</w:t>
            </w:r>
          </w:p>
        </w:tc>
        <w:tc>
          <w:tcPr>
            <w:tcW w:type="dxa" w:w="4608"/>
            <w:vAlign w:val="center"/>
            <w:shd w:fill="F6F8FA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24A"/>
                <w:sz w:val="14"/>
              </w:rPr>
              <w:t>The seven inventory entries represent the initial material AI portfolio, not every future AI capability.</w:t>
            </w:r>
          </w:p>
        </w:tc>
        <w:tc>
          <w:tcPr>
            <w:tcW w:type="dxa" w:w="1008"/>
            <w:vAlign w:val="center"/>
            <w:shd w:fill="F6F8FA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24A"/>
                <w:sz w:val="14"/>
              </w:rPr>
              <w:t>Validated</w:t>
            </w:r>
          </w:p>
        </w:tc>
        <w:tc>
          <w:tcPr>
            <w:tcW w:type="dxa" w:w="1080"/>
            <w:vAlign w:val="center"/>
            <w:shd w:fill="F6F8FA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24A"/>
                <w:sz w:val="14"/>
              </w:rPr>
              <w:t>Medium</w:t>
            </w:r>
          </w:p>
        </w:tc>
        <w:tc>
          <w:tcPr>
            <w:tcW w:type="dxa" w:w="3096"/>
            <w:vAlign w:val="center"/>
            <w:shd w:fill="F6F8FA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24A"/>
                <w:sz w:val="14"/>
              </w:rPr>
              <w:t>Defines baseline scope and allows later onboarding.</w:t>
            </w:r>
          </w:p>
        </w:tc>
        <w:tc>
          <w:tcPr>
            <w:tcW w:type="dxa" w:w="2160"/>
            <w:vAlign w:val="center"/>
            <w:shd w:fill="F6F8FA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24A"/>
                <w:sz w:val="14"/>
              </w:rPr>
              <w:t>AI inventory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24A"/>
                <w:sz w:val="14"/>
              </w:rPr>
              <w:t>ASM-005</w:t>
            </w:r>
          </w:p>
        </w:tc>
        <w:tc>
          <w:tcPr>
            <w:tcW w:type="dxa" w:w="108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24A"/>
                <w:sz w:val="14"/>
              </w:rPr>
              <w:t>Human accountability</w:t>
            </w:r>
          </w:p>
        </w:tc>
        <w:tc>
          <w:tcPr>
            <w:tcW w:type="dxa" w:w="4608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24A"/>
                <w:sz w:val="14"/>
              </w:rPr>
              <w:t>Humans retain formal accountability for employment, product release, quality, procurement, and material customer decisions.</w:t>
            </w:r>
          </w:p>
        </w:tc>
        <w:tc>
          <w:tcPr>
            <w:tcW w:type="dxa" w:w="1008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24A"/>
                <w:sz w:val="14"/>
              </w:rPr>
              <w:t>Open</w:t>
            </w:r>
          </w:p>
        </w:tc>
        <w:tc>
          <w:tcPr>
            <w:tcW w:type="dxa" w:w="108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24A"/>
                <w:sz w:val="14"/>
              </w:rPr>
              <w:t>Critical</w:t>
            </w:r>
          </w:p>
        </w:tc>
        <w:tc>
          <w:tcPr>
            <w:tcW w:type="dxa" w:w="3096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24A"/>
                <w:sz w:val="14"/>
              </w:rPr>
              <w:t>Human oversight affects impact, regulatory, and residual-risk conclusions.</w:t>
            </w:r>
          </w:p>
        </w:tc>
        <w:tc>
          <w:tcPr>
            <w:tcW w:type="dxa" w:w="216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24A"/>
                <w:sz w:val="14"/>
              </w:rPr>
              <w:t>Validate per system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6F8FA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24A"/>
                <w:sz w:val="14"/>
              </w:rPr>
              <w:t>ASM-006</w:t>
            </w:r>
          </w:p>
        </w:tc>
        <w:tc>
          <w:tcPr>
            <w:tcW w:type="dxa" w:w="1080"/>
            <w:vAlign w:val="center"/>
            <w:shd w:fill="F6F8FA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24A"/>
                <w:sz w:val="14"/>
              </w:rPr>
              <w:t>DuckTalent purpose</w:t>
            </w:r>
          </w:p>
        </w:tc>
        <w:tc>
          <w:tcPr>
            <w:tcW w:type="dxa" w:w="4608"/>
            <w:vAlign w:val="center"/>
            <w:shd w:fill="F6F8FA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24A"/>
                <w:sz w:val="14"/>
              </w:rPr>
              <w:t>DuckTalent parses, compares, ranks, and recommends job applicants but does not autonomously issue final rejection or hiring decisions.</w:t>
            </w:r>
          </w:p>
        </w:tc>
        <w:tc>
          <w:tcPr>
            <w:tcW w:type="dxa" w:w="1008"/>
            <w:vAlign w:val="center"/>
            <w:shd w:fill="F6F8FA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24A"/>
                <w:sz w:val="14"/>
              </w:rPr>
              <w:t>Validated</w:t>
            </w:r>
          </w:p>
        </w:tc>
        <w:tc>
          <w:tcPr>
            <w:tcW w:type="dxa" w:w="1080"/>
            <w:vAlign w:val="center"/>
            <w:shd w:fill="F6F8FA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24A"/>
                <w:sz w:val="14"/>
              </w:rPr>
              <w:t>Critical</w:t>
            </w:r>
          </w:p>
        </w:tc>
        <w:tc>
          <w:tcPr>
            <w:tcW w:type="dxa" w:w="3096"/>
            <w:vAlign w:val="center"/>
            <w:shd w:fill="F6F8FA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24A"/>
                <w:sz w:val="14"/>
              </w:rPr>
              <w:t>Materially affects employment impact and legal classification analysis.</w:t>
            </w:r>
          </w:p>
        </w:tc>
        <w:tc>
          <w:tcPr>
            <w:tcW w:type="dxa" w:w="2160"/>
            <w:vAlign w:val="center"/>
            <w:shd w:fill="F6F8FA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24A"/>
                <w:sz w:val="14"/>
              </w:rPr>
              <w:t>DuckTalent AIA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24A"/>
                <w:sz w:val="14"/>
              </w:rPr>
              <w:t>ASM-007</w:t>
            </w:r>
          </w:p>
        </w:tc>
        <w:tc>
          <w:tcPr>
            <w:tcW w:type="dxa" w:w="108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24A"/>
                <w:sz w:val="14"/>
              </w:rPr>
              <w:t>DuckDesign use</w:t>
            </w:r>
          </w:p>
        </w:tc>
        <w:tc>
          <w:tcPr>
            <w:tcW w:type="dxa" w:w="4608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24A"/>
                <w:sz w:val="14"/>
              </w:rPr>
              <w:t>DuckDesign outputs are advisory and require competent engineer review before prototyping or production.</w:t>
            </w:r>
          </w:p>
        </w:tc>
        <w:tc>
          <w:tcPr>
            <w:tcW w:type="dxa" w:w="1008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24A"/>
                <w:sz w:val="14"/>
              </w:rPr>
              <w:t>Open</w:t>
            </w:r>
          </w:p>
        </w:tc>
        <w:tc>
          <w:tcPr>
            <w:tcW w:type="dxa" w:w="108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24A"/>
                <w:sz w:val="14"/>
              </w:rPr>
              <w:t>Critical</w:t>
            </w:r>
          </w:p>
        </w:tc>
        <w:tc>
          <w:tcPr>
            <w:tcW w:type="dxa" w:w="3096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24A"/>
                <w:sz w:val="14"/>
              </w:rPr>
              <w:t>Safety and product risk depend on meaningful engineering validation.</w:t>
            </w:r>
          </w:p>
        </w:tc>
        <w:tc>
          <w:tcPr>
            <w:tcW w:type="dxa" w:w="216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24A"/>
                <w:sz w:val="14"/>
              </w:rPr>
              <w:t>Pilot operating procedure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6F8FA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24A"/>
                <w:sz w:val="14"/>
              </w:rPr>
              <w:t>ASM-008</w:t>
            </w:r>
          </w:p>
        </w:tc>
        <w:tc>
          <w:tcPr>
            <w:tcW w:type="dxa" w:w="1080"/>
            <w:vAlign w:val="center"/>
            <w:shd w:fill="F6F8FA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24A"/>
                <w:sz w:val="14"/>
              </w:rPr>
              <w:t>WingInspect use</w:t>
            </w:r>
          </w:p>
        </w:tc>
        <w:tc>
          <w:tcPr>
            <w:tcW w:type="dxa" w:w="4608"/>
            <w:vAlign w:val="center"/>
            <w:shd w:fill="F6F8FA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24A"/>
                <w:sz w:val="14"/>
              </w:rPr>
              <w:t>WingInspect flags defects but qualified human inspectors retain final acceptance/rejection authority.</w:t>
            </w:r>
          </w:p>
        </w:tc>
        <w:tc>
          <w:tcPr>
            <w:tcW w:type="dxa" w:w="1008"/>
            <w:vAlign w:val="center"/>
            <w:shd w:fill="F6F8FA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24A"/>
                <w:sz w:val="14"/>
              </w:rPr>
              <w:t>Open</w:t>
            </w:r>
          </w:p>
        </w:tc>
        <w:tc>
          <w:tcPr>
            <w:tcW w:type="dxa" w:w="1080"/>
            <w:vAlign w:val="center"/>
            <w:shd w:fill="F6F8FA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24A"/>
                <w:sz w:val="14"/>
              </w:rPr>
              <w:t>Critical</w:t>
            </w:r>
          </w:p>
        </w:tc>
        <w:tc>
          <w:tcPr>
            <w:tcW w:type="dxa" w:w="3096"/>
            <w:vAlign w:val="center"/>
            <w:shd w:fill="F6F8FA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24A"/>
                <w:sz w:val="14"/>
              </w:rPr>
              <w:t>Quality/safety exposure changes if the model becomes autonomous.</w:t>
            </w:r>
          </w:p>
        </w:tc>
        <w:tc>
          <w:tcPr>
            <w:tcW w:type="dxa" w:w="2160"/>
            <w:vAlign w:val="center"/>
            <w:shd w:fill="F6F8FA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24A"/>
                <w:sz w:val="14"/>
              </w:rPr>
              <w:t>Manufacturing procedure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24A"/>
                <w:sz w:val="14"/>
              </w:rPr>
              <w:t>ASM-009</w:t>
            </w:r>
          </w:p>
        </w:tc>
        <w:tc>
          <w:tcPr>
            <w:tcW w:type="dxa" w:w="108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24A"/>
                <w:sz w:val="14"/>
              </w:rPr>
              <w:t>PondGPT access</w:t>
            </w:r>
          </w:p>
        </w:tc>
        <w:tc>
          <w:tcPr>
            <w:tcW w:type="dxa" w:w="4608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24A"/>
                <w:sz w:val="14"/>
              </w:rPr>
              <w:t>PondGPT uses enterprise access controls and should not grant users access to documents they could not otherwise access.</w:t>
            </w:r>
          </w:p>
        </w:tc>
        <w:tc>
          <w:tcPr>
            <w:tcW w:type="dxa" w:w="1008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24A"/>
                <w:sz w:val="14"/>
              </w:rPr>
              <w:t>Open</w:t>
            </w:r>
          </w:p>
        </w:tc>
        <w:tc>
          <w:tcPr>
            <w:tcW w:type="dxa" w:w="108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24A"/>
                <w:sz w:val="14"/>
              </w:rPr>
              <w:t>Critical</w:t>
            </w:r>
          </w:p>
        </w:tc>
        <w:tc>
          <w:tcPr>
            <w:tcW w:type="dxa" w:w="3096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24A"/>
                <w:sz w:val="14"/>
              </w:rPr>
              <w:t>Controls cross-user leakage and privilege amplification.</w:t>
            </w:r>
          </w:p>
        </w:tc>
        <w:tc>
          <w:tcPr>
            <w:tcW w:type="dxa" w:w="216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24A"/>
                <w:sz w:val="14"/>
              </w:rPr>
              <w:t>Architecture evidence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6F8FA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24A"/>
                <w:sz w:val="14"/>
              </w:rPr>
              <w:t>ASM-010</w:t>
            </w:r>
          </w:p>
        </w:tc>
        <w:tc>
          <w:tcPr>
            <w:tcW w:type="dxa" w:w="1080"/>
            <w:vAlign w:val="center"/>
            <w:shd w:fill="F6F8FA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24A"/>
                <w:sz w:val="14"/>
              </w:rPr>
              <w:t>QuackBot escalation</w:t>
            </w:r>
          </w:p>
        </w:tc>
        <w:tc>
          <w:tcPr>
            <w:tcW w:type="dxa" w:w="4608"/>
            <w:vAlign w:val="center"/>
            <w:shd w:fill="F6F8FA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24A"/>
                <w:sz w:val="14"/>
              </w:rPr>
              <w:t>QuackBot can escalate uncertain, sensitive, or safety-relevant interactions to human support staff.</w:t>
            </w:r>
          </w:p>
        </w:tc>
        <w:tc>
          <w:tcPr>
            <w:tcW w:type="dxa" w:w="1008"/>
            <w:vAlign w:val="center"/>
            <w:shd w:fill="F6F8FA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24A"/>
                <w:sz w:val="14"/>
              </w:rPr>
              <w:t>Open</w:t>
            </w:r>
          </w:p>
        </w:tc>
        <w:tc>
          <w:tcPr>
            <w:tcW w:type="dxa" w:w="1080"/>
            <w:vAlign w:val="center"/>
            <w:shd w:fill="F6F8FA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24A"/>
                <w:sz w:val="14"/>
              </w:rPr>
              <w:t>High</w:t>
            </w:r>
          </w:p>
        </w:tc>
        <w:tc>
          <w:tcPr>
            <w:tcW w:type="dxa" w:w="3096"/>
            <w:vAlign w:val="center"/>
            <w:shd w:fill="F6F8FA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24A"/>
                <w:sz w:val="14"/>
              </w:rPr>
              <w:t>Reduces customer harm and supports oversight.</w:t>
            </w:r>
          </w:p>
        </w:tc>
        <w:tc>
          <w:tcPr>
            <w:tcW w:type="dxa" w:w="2160"/>
            <w:vAlign w:val="center"/>
            <w:shd w:fill="F6F8FA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24A"/>
                <w:sz w:val="14"/>
              </w:rPr>
              <w:t>Release design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24A"/>
                <w:sz w:val="14"/>
              </w:rPr>
              <w:t>ASM-011</w:t>
            </w:r>
          </w:p>
        </w:tc>
        <w:tc>
          <w:tcPr>
            <w:tcW w:type="dxa" w:w="108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24A"/>
                <w:sz w:val="14"/>
              </w:rPr>
              <w:t>FeatherForecast decisions</w:t>
            </w:r>
          </w:p>
        </w:tc>
        <w:tc>
          <w:tcPr>
            <w:tcW w:type="dxa" w:w="4608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24A"/>
                <w:sz w:val="14"/>
              </w:rPr>
              <w:t>FeatherForecast is decision support; purchasing and production commitments require authorized manager approval.</w:t>
            </w:r>
          </w:p>
        </w:tc>
        <w:tc>
          <w:tcPr>
            <w:tcW w:type="dxa" w:w="1008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24A"/>
                <w:sz w:val="14"/>
              </w:rPr>
              <w:t>Open</w:t>
            </w:r>
          </w:p>
        </w:tc>
        <w:tc>
          <w:tcPr>
            <w:tcW w:type="dxa" w:w="108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24A"/>
                <w:sz w:val="14"/>
              </w:rPr>
              <w:t>Medium</w:t>
            </w:r>
          </w:p>
        </w:tc>
        <w:tc>
          <w:tcPr>
            <w:tcW w:type="dxa" w:w="3096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24A"/>
                <w:sz w:val="14"/>
              </w:rPr>
              <w:t>Limits direct automation risk.</w:t>
            </w:r>
          </w:p>
        </w:tc>
        <w:tc>
          <w:tcPr>
            <w:tcW w:type="dxa" w:w="216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24A"/>
                <w:sz w:val="14"/>
              </w:rPr>
              <w:t>Supply chain SOP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6F8FA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24A"/>
                <w:sz w:val="14"/>
              </w:rPr>
              <w:t>ASM-012</w:t>
            </w:r>
          </w:p>
        </w:tc>
        <w:tc>
          <w:tcPr>
            <w:tcW w:type="dxa" w:w="1080"/>
            <w:vAlign w:val="center"/>
            <w:shd w:fill="F6F8FA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24A"/>
                <w:sz w:val="14"/>
              </w:rPr>
              <w:t>Third-party mix</w:t>
            </w:r>
          </w:p>
        </w:tc>
        <w:tc>
          <w:tcPr>
            <w:tcW w:type="dxa" w:w="4608"/>
            <w:vAlign w:val="center"/>
            <w:shd w:fill="F6F8FA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24A"/>
                <w:sz w:val="14"/>
              </w:rPr>
              <w:t>Duckworks uses a combination of internally developed AI components and third-party models/services.</w:t>
            </w:r>
          </w:p>
        </w:tc>
        <w:tc>
          <w:tcPr>
            <w:tcW w:type="dxa" w:w="1008"/>
            <w:vAlign w:val="center"/>
            <w:shd w:fill="F6F8FA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24A"/>
                <w:sz w:val="14"/>
              </w:rPr>
              <w:t>Validated</w:t>
            </w:r>
          </w:p>
        </w:tc>
        <w:tc>
          <w:tcPr>
            <w:tcW w:type="dxa" w:w="1080"/>
            <w:vAlign w:val="center"/>
            <w:shd w:fill="F6F8FA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24A"/>
                <w:sz w:val="14"/>
              </w:rPr>
              <w:t>High</w:t>
            </w:r>
          </w:p>
        </w:tc>
        <w:tc>
          <w:tcPr>
            <w:tcW w:type="dxa" w:w="3096"/>
            <w:vAlign w:val="center"/>
            <w:shd w:fill="F6F8FA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24A"/>
                <w:sz w:val="14"/>
              </w:rPr>
              <w:t>Requires both development governance and supplier risk controls.</w:t>
            </w:r>
          </w:p>
        </w:tc>
        <w:tc>
          <w:tcPr>
            <w:tcW w:type="dxa" w:w="2160"/>
            <w:vAlign w:val="center"/>
            <w:shd w:fill="F6F8FA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24A"/>
                <w:sz w:val="14"/>
              </w:rPr>
              <w:t>Architecture scenario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24A"/>
                <w:sz w:val="14"/>
              </w:rPr>
              <w:t>ASM-013</w:t>
            </w:r>
          </w:p>
        </w:tc>
        <w:tc>
          <w:tcPr>
            <w:tcW w:type="dxa" w:w="108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24A"/>
                <w:sz w:val="14"/>
              </w:rPr>
              <w:t>Data</w:t>
            </w:r>
          </w:p>
        </w:tc>
        <w:tc>
          <w:tcPr>
            <w:tcW w:type="dxa" w:w="4608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24A"/>
                <w:sz w:val="14"/>
              </w:rPr>
              <w:t>AI systems may process confidential IP and, for selected systems, customer, employee, or applicant personal data.</w:t>
            </w:r>
          </w:p>
        </w:tc>
        <w:tc>
          <w:tcPr>
            <w:tcW w:type="dxa" w:w="1008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24A"/>
                <w:sz w:val="14"/>
              </w:rPr>
              <w:t>Validated</w:t>
            </w:r>
          </w:p>
        </w:tc>
        <w:tc>
          <w:tcPr>
            <w:tcW w:type="dxa" w:w="108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24A"/>
                <w:sz w:val="14"/>
              </w:rPr>
              <w:t>High</w:t>
            </w:r>
          </w:p>
        </w:tc>
        <w:tc>
          <w:tcPr>
            <w:tcW w:type="dxa" w:w="3096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24A"/>
                <w:sz w:val="14"/>
              </w:rPr>
              <w:t>Drives privacy, security, and data governance controls.</w:t>
            </w:r>
          </w:p>
        </w:tc>
        <w:tc>
          <w:tcPr>
            <w:tcW w:type="dxa" w:w="216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24A"/>
                <w:sz w:val="14"/>
              </w:rPr>
              <w:t>Inventory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6F8FA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24A"/>
                <w:sz w:val="14"/>
              </w:rPr>
              <w:t>ASM-014</w:t>
            </w:r>
          </w:p>
        </w:tc>
        <w:tc>
          <w:tcPr>
            <w:tcW w:type="dxa" w:w="1080"/>
            <w:vAlign w:val="center"/>
            <w:shd w:fill="F6F8FA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24A"/>
                <w:sz w:val="14"/>
              </w:rPr>
              <w:t>No real data</w:t>
            </w:r>
          </w:p>
        </w:tc>
        <w:tc>
          <w:tcPr>
            <w:tcW w:type="dxa" w:w="4608"/>
            <w:vAlign w:val="center"/>
            <w:shd w:fill="F6F8FA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24A"/>
                <w:sz w:val="14"/>
              </w:rPr>
              <w:t>Portfolio artifacts use only fictional, synthetic, anonymized, or public data.</w:t>
            </w:r>
          </w:p>
        </w:tc>
        <w:tc>
          <w:tcPr>
            <w:tcW w:type="dxa" w:w="1008"/>
            <w:vAlign w:val="center"/>
            <w:shd w:fill="F6F8FA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24A"/>
                <w:sz w:val="14"/>
              </w:rPr>
              <w:t>Validated</w:t>
            </w:r>
          </w:p>
        </w:tc>
        <w:tc>
          <w:tcPr>
            <w:tcW w:type="dxa" w:w="1080"/>
            <w:vAlign w:val="center"/>
            <w:shd w:fill="F6F8FA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24A"/>
                <w:sz w:val="14"/>
              </w:rPr>
              <w:t>Low</w:t>
            </w:r>
          </w:p>
        </w:tc>
        <w:tc>
          <w:tcPr>
            <w:tcW w:type="dxa" w:w="3096"/>
            <w:vAlign w:val="center"/>
            <w:shd w:fill="F6F8FA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24A"/>
                <w:sz w:val="14"/>
              </w:rPr>
              <w:t>Protects confidentiality and establishes portfolio evidence boundary.</w:t>
            </w:r>
          </w:p>
        </w:tc>
        <w:tc>
          <w:tcPr>
            <w:tcW w:type="dxa" w:w="2160"/>
            <w:vAlign w:val="center"/>
            <w:shd w:fill="F6F8FA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24A"/>
                <w:sz w:val="14"/>
              </w:rPr>
              <w:t>Project rule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24A"/>
                <w:sz w:val="14"/>
              </w:rPr>
              <w:t>ASM-015</w:t>
            </w:r>
          </w:p>
        </w:tc>
        <w:tc>
          <w:tcPr>
            <w:tcW w:type="dxa" w:w="108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24A"/>
                <w:sz w:val="14"/>
              </w:rPr>
              <w:t>Legal review</w:t>
            </w:r>
          </w:p>
        </w:tc>
        <w:tc>
          <w:tcPr>
            <w:tcW w:type="dxa" w:w="4608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24A"/>
                <w:sz w:val="14"/>
              </w:rPr>
              <w:t>Regulatory mappings are governance screening outputs, not formal legal opinions.</w:t>
            </w:r>
          </w:p>
        </w:tc>
        <w:tc>
          <w:tcPr>
            <w:tcW w:type="dxa" w:w="1008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24A"/>
                <w:sz w:val="14"/>
              </w:rPr>
              <w:t>Validated</w:t>
            </w:r>
          </w:p>
        </w:tc>
        <w:tc>
          <w:tcPr>
            <w:tcW w:type="dxa" w:w="108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24A"/>
                <w:sz w:val="14"/>
              </w:rPr>
              <w:t>High</w:t>
            </w:r>
          </w:p>
        </w:tc>
        <w:tc>
          <w:tcPr>
            <w:tcW w:type="dxa" w:w="3096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24A"/>
                <w:sz w:val="14"/>
              </w:rPr>
              <w:t>Prevents overstating compliance conclusions.</w:t>
            </w:r>
          </w:p>
        </w:tc>
        <w:tc>
          <w:tcPr>
            <w:tcW w:type="dxa" w:w="216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24A"/>
                <w:sz w:val="14"/>
              </w:rPr>
              <w:t>Project scope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6F8FA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24A"/>
                <w:sz w:val="14"/>
              </w:rPr>
              <w:t>ASM-016</w:t>
            </w:r>
          </w:p>
        </w:tc>
        <w:tc>
          <w:tcPr>
            <w:tcW w:type="dxa" w:w="1080"/>
            <w:vAlign w:val="center"/>
            <w:shd w:fill="F6F8FA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24A"/>
                <w:sz w:val="14"/>
              </w:rPr>
              <w:t>Standards</w:t>
            </w:r>
          </w:p>
        </w:tc>
        <w:tc>
          <w:tcPr>
            <w:tcW w:type="dxa" w:w="4608"/>
            <w:vAlign w:val="center"/>
            <w:shd w:fill="F6F8FA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24A"/>
                <w:sz w:val="14"/>
              </w:rPr>
              <w:t>NIST/ISO/OWASP/ENISA mappings are guidance/control references and do not independently prove legal compliance or certification.</w:t>
            </w:r>
          </w:p>
        </w:tc>
        <w:tc>
          <w:tcPr>
            <w:tcW w:type="dxa" w:w="1008"/>
            <w:vAlign w:val="center"/>
            <w:shd w:fill="F6F8FA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24A"/>
                <w:sz w:val="14"/>
              </w:rPr>
              <w:t>Validated</w:t>
            </w:r>
          </w:p>
        </w:tc>
        <w:tc>
          <w:tcPr>
            <w:tcW w:type="dxa" w:w="1080"/>
            <w:vAlign w:val="center"/>
            <w:shd w:fill="F6F8FA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24A"/>
                <w:sz w:val="14"/>
              </w:rPr>
              <w:t>High</w:t>
            </w:r>
          </w:p>
        </w:tc>
        <w:tc>
          <w:tcPr>
            <w:tcW w:type="dxa" w:w="3096"/>
            <w:vAlign w:val="center"/>
            <w:shd w:fill="F6F8FA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24A"/>
                <w:sz w:val="14"/>
              </w:rPr>
              <w:t>Keeps framework claims defensible.</w:t>
            </w:r>
          </w:p>
        </w:tc>
        <w:tc>
          <w:tcPr>
            <w:tcW w:type="dxa" w:w="2160"/>
            <w:vAlign w:val="center"/>
            <w:shd w:fill="F6F8FA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24A"/>
                <w:sz w:val="14"/>
              </w:rPr>
              <w:t>Reference file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24A"/>
                <w:sz w:val="14"/>
              </w:rPr>
              <w:t>ASM-017</w:t>
            </w:r>
          </w:p>
        </w:tc>
        <w:tc>
          <w:tcPr>
            <w:tcW w:type="dxa" w:w="108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24A"/>
                <w:sz w:val="14"/>
              </w:rPr>
              <w:t>Risk method</w:t>
            </w:r>
          </w:p>
        </w:tc>
        <w:tc>
          <w:tcPr>
            <w:tcW w:type="dxa" w:w="4608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24A"/>
                <w:sz w:val="14"/>
              </w:rPr>
              <w:t>Internal Duckworks risk levels are separate from statutory concepts such as an EU AI Act “high-risk AI system.”</w:t>
            </w:r>
          </w:p>
        </w:tc>
        <w:tc>
          <w:tcPr>
            <w:tcW w:type="dxa" w:w="1008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24A"/>
                <w:sz w:val="14"/>
              </w:rPr>
              <w:t>Validated</w:t>
            </w:r>
          </w:p>
        </w:tc>
        <w:tc>
          <w:tcPr>
            <w:tcW w:type="dxa" w:w="108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24A"/>
                <w:sz w:val="14"/>
              </w:rPr>
              <w:t>Critical</w:t>
            </w:r>
          </w:p>
        </w:tc>
        <w:tc>
          <w:tcPr>
            <w:tcW w:type="dxa" w:w="3096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24A"/>
                <w:sz w:val="14"/>
              </w:rPr>
              <w:t>Avoids conflating enterprise scoring with legal classification.</w:t>
            </w:r>
          </w:p>
        </w:tc>
        <w:tc>
          <w:tcPr>
            <w:tcW w:type="dxa" w:w="216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24A"/>
                <w:sz w:val="14"/>
              </w:rPr>
              <w:t>Risk methodology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6F8FA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24A"/>
                <w:sz w:val="14"/>
              </w:rPr>
              <w:t>ASM-018</w:t>
            </w:r>
          </w:p>
        </w:tc>
        <w:tc>
          <w:tcPr>
            <w:tcW w:type="dxa" w:w="1080"/>
            <w:vAlign w:val="center"/>
            <w:shd w:fill="F6F8FA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24A"/>
                <w:sz w:val="14"/>
              </w:rPr>
              <w:t>Control credit</w:t>
            </w:r>
          </w:p>
        </w:tc>
        <w:tc>
          <w:tcPr>
            <w:tcW w:type="dxa" w:w="4608"/>
            <w:vAlign w:val="center"/>
            <w:shd w:fill="F6F8FA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24A"/>
                <w:sz w:val="14"/>
              </w:rPr>
              <w:t>Residual risk may only be reduced where implemented controls and evidence justify revised severity/likelihood.</w:t>
            </w:r>
          </w:p>
        </w:tc>
        <w:tc>
          <w:tcPr>
            <w:tcW w:type="dxa" w:w="1008"/>
            <w:vAlign w:val="center"/>
            <w:shd w:fill="F6F8FA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24A"/>
                <w:sz w:val="14"/>
              </w:rPr>
              <w:t>Validated</w:t>
            </w:r>
          </w:p>
        </w:tc>
        <w:tc>
          <w:tcPr>
            <w:tcW w:type="dxa" w:w="1080"/>
            <w:vAlign w:val="center"/>
            <w:shd w:fill="F6F8FA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24A"/>
                <w:sz w:val="14"/>
              </w:rPr>
              <w:t>Critical</w:t>
            </w:r>
          </w:p>
        </w:tc>
        <w:tc>
          <w:tcPr>
            <w:tcW w:type="dxa" w:w="3096"/>
            <w:vAlign w:val="center"/>
            <w:shd w:fill="F6F8FA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24A"/>
                <w:sz w:val="14"/>
              </w:rPr>
              <w:t>Prevents unsupported mathematical risk discounting.</w:t>
            </w:r>
          </w:p>
        </w:tc>
        <w:tc>
          <w:tcPr>
            <w:tcW w:type="dxa" w:w="2160"/>
            <w:vAlign w:val="center"/>
            <w:shd w:fill="F6F8FA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24A"/>
                <w:sz w:val="14"/>
              </w:rPr>
              <w:t>Risk methodology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24A"/>
                <w:sz w:val="14"/>
              </w:rPr>
              <w:t>ASM-019</w:t>
            </w:r>
          </w:p>
        </w:tc>
        <w:tc>
          <w:tcPr>
            <w:tcW w:type="dxa" w:w="108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24A"/>
                <w:sz w:val="14"/>
              </w:rPr>
              <w:t>Shadow AI</w:t>
            </w:r>
          </w:p>
        </w:tc>
        <w:tc>
          <w:tcPr>
            <w:tcW w:type="dxa" w:w="4608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24A"/>
                <w:sz w:val="14"/>
              </w:rPr>
              <w:t>Unregistered GenAI Usage is an organizational condition containing multiple use cases, not one homogeneous AI system.</w:t>
            </w:r>
          </w:p>
        </w:tc>
        <w:tc>
          <w:tcPr>
            <w:tcW w:type="dxa" w:w="1008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24A"/>
                <w:sz w:val="14"/>
              </w:rPr>
              <w:t>Validated</w:t>
            </w:r>
          </w:p>
        </w:tc>
        <w:tc>
          <w:tcPr>
            <w:tcW w:type="dxa" w:w="108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24A"/>
                <w:sz w:val="14"/>
              </w:rPr>
              <w:t>High</w:t>
            </w:r>
          </w:p>
        </w:tc>
        <w:tc>
          <w:tcPr>
            <w:tcW w:type="dxa" w:w="3096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24A"/>
                <w:sz w:val="14"/>
              </w:rPr>
              <w:t>Requires discovery and decomposition into individual inventory records.</w:t>
            </w:r>
          </w:p>
        </w:tc>
        <w:tc>
          <w:tcPr>
            <w:tcW w:type="dxa" w:w="216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24A"/>
                <w:sz w:val="14"/>
              </w:rPr>
              <w:t>AI-007 AIA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6F8FA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24A"/>
                <w:sz w:val="14"/>
              </w:rPr>
              <w:t>ASM-020</w:t>
            </w:r>
          </w:p>
        </w:tc>
        <w:tc>
          <w:tcPr>
            <w:tcW w:type="dxa" w:w="1080"/>
            <w:vAlign w:val="center"/>
            <w:shd w:fill="F6F8FA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24A"/>
                <w:sz w:val="14"/>
              </w:rPr>
              <w:t>Product scope</w:t>
            </w:r>
          </w:p>
        </w:tc>
        <w:tc>
          <w:tcPr>
            <w:tcW w:type="dxa" w:w="4608"/>
            <w:vAlign w:val="center"/>
            <w:shd w:fill="F6F8FA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24A"/>
                <w:sz w:val="14"/>
              </w:rPr>
              <w:t>Some Duckworks products may include digital or connected functionality; exact machinery/product/cybersecurity regulatory applicability remains product-specific.</w:t>
            </w:r>
          </w:p>
        </w:tc>
        <w:tc>
          <w:tcPr>
            <w:tcW w:type="dxa" w:w="1008"/>
            <w:vAlign w:val="center"/>
            <w:shd w:fill="F6F8FA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24A"/>
                <w:sz w:val="14"/>
              </w:rPr>
              <w:t>Open</w:t>
            </w:r>
          </w:p>
        </w:tc>
        <w:tc>
          <w:tcPr>
            <w:tcW w:type="dxa" w:w="1080"/>
            <w:vAlign w:val="center"/>
            <w:shd w:fill="F6F8FA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24A"/>
                <w:sz w:val="14"/>
              </w:rPr>
              <w:t>High</w:t>
            </w:r>
          </w:p>
        </w:tc>
        <w:tc>
          <w:tcPr>
            <w:tcW w:type="dxa" w:w="3096"/>
            <w:vAlign w:val="center"/>
            <w:shd w:fill="F6F8FA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24A"/>
                <w:sz w:val="14"/>
              </w:rPr>
              <w:t>Requires legal/product assessment before real conformity claims.</w:t>
            </w:r>
          </w:p>
        </w:tc>
        <w:tc>
          <w:tcPr>
            <w:tcW w:type="dxa" w:w="2160"/>
            <w:vAlign w:val="center"/>
            <w:shd w:fill="F6F8FA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24A"/>
                <w:sz w:val="14"/>
              </w:rPr>
              <w:t>Product architecture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24A"/>
                <w:sz w:val="14"/>
              </w:rPr>
              <w:t>ASM-021</w:t>
            </w:r>
          </w:p>
        </w:tc>
        <w:tc>
          <w:tcPr>
            <w:tcW w:type="dxa" w:w="108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24A"/>
                <w:sz w:val="14"/>
              </w:rPr>
              <w:t>Evidence maturity</w:t>
            </w:r>
          </w:p>
        </w:tc>
        <w:tc>
          <w:tcPr>
            <w:tcW w:type="dxa" w:w="4608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24A"/>
                <w:sz w:val="14"/>
              </w:rPr>
              <w:t>Some current-state controls exist but evidence quality is inconsistent; target state requires traceable control evidence.</w:t>
            </w:r>
          </w:p>
        </w:tc>
        <w:tc>
          <w:tcPr>
            <w:tcW w:type="dxa" w:w="1008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24A"/>
                <w:sz w:val="14"/>
              </w:rPr>
              <w:t>Validated</w:t>
            </w:r>
          </w:p>
        </w:tc>
        <w:tc>
          <w:tcPr>
            <w:tcW w:type="dxa" w:w="108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24A"/>
                <w:sz w:val="14"/>
              </w:rPr>
              <w:t>High</w:t>
            </w:r>
          </w:p>
        </w:tc>
        <w:tc>
          <w:tcPr>
            <w:tcW w:type="dxa" w:w="3096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24A"/>
                <w:sz w:val="14"/>
              </w:rPr>
              <w:t>Supports assurance-readiness objective.</w:t>
            </w:r>
          </w:p>
        </w:tc>
        <w:tc>
          <w:tcPr>
            <w:tcW w:type="dxa" w:w="216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24A"/>
                <w:sz w:val="14"/>
              </w:rPr>
              <w:t>Executive case study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6F8FA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24A"/>
                <w:sz w:val="14"/>
              </w:rPr>
              <w:t>ASM-022</w:t>
            </w:r>
          </w:p>
        </w:tc>
        <w:tc>
          <w:tcPr>
            <w:tcW w:type="dxa" w:w="1080"/>
            <w:vAlign w:val="center"/>
            <w:shd w:fill="F6F8FA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24A"/>
                <w:sz w:val="14"/>
              </w:rPr>
              <w:t>Internal Audit independence</w:t>
            </w:r>
          </w:p>
        </w:tc>
        <w:tc>
          <w:tcPr>
            <w:tcW w:type="dxa" w:w="4608"/>
            <w:vAlign w:val="center"/>
            <w:shd w:fill="F6F8FA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24A"/>
                <w:sz w:val="14"/>
              </w:rPr>
              <w:t>Internal Audit observes and assures but does not design, own, or operate first/second-line AI controls.</w:t>
            </w:r>
          </w:p>
        </w:tc>
        <w:tc>
          <w:tcPr>
            <w:tcW w:type="dxa" w:w="1008"/>
            <w:vAlign w:val="center"/>
            <w:shd w:fill="F6F8FA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24A"/>
                <w:sz w:val="14"/>
              </w:rPr>
              <w:t>Validated</w:t>
            </w:r>
          </w:p>
        </w:tc>
        <w:tc>
          <w:tcPr>
            <w:tcW w:type="dxa" w:w="1080"/>
            <w:vAlign w:val="center"/>
            <w:shd w:fill="F6F8FA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24A"/>
                <w:sz w:val="14"/>
              </w:rPr>
              <w:t>High</w:t>
            </w:r>
          </w:p>
        </w:tc>
        <w:tc>
          <w:tcPr>
            <w:tcW w:type="dxa" w:w="3096"/>
            <w:vAlign w:val="center"/>
            <w:shd w:fill="F6F8FA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24A"/>
                <w:sz w:val="14"/>
              </w:rPr>
              <w:t>Preserves three-lines independence.</w:t>
            </w:r>
          </w:p>
        </w:tc>
        <w:tc>
          <w:tcPr>
            <w:tcW w:type="dxa" w:w="2160"/>
            <w:vAlign w:val="center"/>
            <w:shd w:fill="F6F8FA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24A"/>
                <w:sz w:val="14"/>
              </w:rPr>
              <w:t>Stakeholder model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24A"/>
                <w:sz w:val="14"/>
              </w:rPr>
              <w:t>ASM-023</w:t>
            </w:r>
          </w:p>
        </w:tc>
        <w:tc>
          <w:tcPr>
            <w:tcW w:type="dxa" w:w="108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24A"/>
                <w:sz w:val="14"/>
              </w:rPr>
              <w:t>Risk appetite</w:t>
            </w:r>
          </w:p>
        </w:tc>
        <w:tc>
          <w:tcPr>
            <w:tcW w:type="dxa" w:w="4608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24A"/>
                <w:sz w:val="14"/>
              </w:rPr>
              <w:t>Critical residual AI risk is not acceptable for production without exceptional executive/board-level escalation; specific appetite thresholds may be refined later.</w:t>
            </w:r>
          </w:p>
        </w:tc>
        <w:tc>
          <w:tcPr>
            <w:tcW w:type="dxa" w:w="1008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24A"/>
                <w:sz w:val="14"/>
              </w:rPr>
              <w:t>Open</w:t>
            </w:r>
          </w:p>
        </w:tc>
        <w:tc>
          <w:tcPr>
            <w:tcW w:type="dxa" w:w="108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24A"/>
                <w:sz w:val="14"/>
              </w:rPr>
              <w:t>Critical</w:t>
            </w:r>
          </w:p>
        </w:tc>
        <w:tc>
          <w:tcPr>
            <w:tcW w:type="dxa" w:w="3096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24A"/>
                <w:sz w:val="14"/>
              </w:rPr>
              <w:t>Drives deployment decisions.</w:t>
            </w:r>
          </w:p>
        </w:tc>
        <w:tc>
          <w:tcPr>
            <w:tcW w:type="dxa" w:w="216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24A"/>
                <w:sz w:val="14"/>
              </w:rPr>
              <w:t>Risk methodology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6F8FA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24A"/>
                <w:sz w:val="14"/>
              </w:rPr>
              <w:t>ASM-024</w:t>
            </w:r>
          </w:p>
        </w:tc>
        <w:tc>
          <w:tcPr>
            <w:tcW w:type="dxa" w:w="1080"/>
            <w:vAlign w:val="center"/>
            <w:shd w:fill="F6F8FA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24A"/>
                <w:sz w:val="14"/>
              </w:rPr>
              <w:t>Project technology neutrality</w:t>
            </w:r>
          </w:p>
        </w:tc>
        <w:tc>
          <w:tcPr>
            <w:tcW w:type="dxa" w:w="4608"/>
            <w:vAlign w:val="center"/>
            <w:shd w:fill="F6F8FA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24A"/>
                <w:sz w:val="14"/>
              </w:rPr>
              <w:t>The governance design is model-, vendor-, cloud-, and GRC-platform-neutral unless a system-specific decision requires otherwise.</w:t>
            </w:r>
          </w:p>
        </w:tc>
        <w:tc>
          <w:tcPr>
            <w:tcW w:type="dxa" w:w="1008"/>
            <w:vAlign w:val="center"/>
            <w:shd w:fill="F6F8FA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24A"/>
                <w:sz w:val="14"/>
              </w:rPr>
              <w:t>Validated</w:t>
            </w:r>
          </w:p>
        </w:tc>
        <w:tc>
          <w:tcPr>
            <w:tcW w:type="dxa" w:w="1080"/>
            <w:vAlign w:val="center"/>
            <w:shd w:fill="F6F8FA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24A"/>
                <w:sz w:val="14"/>
              </w:rPr>
              <w:t>Low</w:t>
            </w:r>
          </w:p>
        </w:tc>
        <w:tc>
          <w:tcPr>
            <w:tcW w:type="dxa" w:w="3096"/>
            <w:vAlign w:val="center"/>
            <w:shd w:fill="F6F8FA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24A"/>
                <w:sz w:val="14"/>
              </w:rPr>
              <w:t>Keeps portfolio reusable.</w:t>
            </w:r>
          </w:p>
        </w:tc>
        <w:tc>
          <w:tcPr>
            <w:tcW w:type="dxa" w:w="2160"/>
            <w:vAlign w:val="center"/>
            <w:shd w:fill="F6F8FA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24A"/>
                <w:sz w:val="14"/>
              </w:rPr>
              <w:t>Scope document</w:t>
            </w:r>
          </w:p>
        </w:tc>
      </w:tr>
    </w:tbl>
    <w:p/>
    <w:p>
      <w:pPr>
        <w:pStyle w:val="Heading1"/>
      </w:pPr>
      <w:r>
        <w:t>4. Critical Assumptions Requiring Early Validation</w:t>
      </w:r>
    </w:p>
    <w:p>
      <w:pPr>
        <w:pStyle w:val="ListNumber"/>
        <w:spacing w:after="40"/>
      </w:pPr>
      <w:r>
        <w:t>Confirm actual human decision authority for DuckTalent, DuckDesign, WingInspect, QuackBot, and FeatherForecast.</w:t>
      </w:r>
    </w:p>
    <w:p>
      <w:pPr>
        <w:pStyle w:val="ListNumber"/>
        <w:spacing w:after="40"/>
      </w:pPr>
      <w:r>
        <w:t>Confirm PondGPT data-access architecture and retrieval authorization boundaries.</w:t>
      </w:r>
    </w:p>
    <w:p>
      <w:pPr>
        <w:pStyle w:val="ListNumber"/>
        <w:spacing w:after="40"/>
      </w:pPr>
      <w:r>
        <w:t>Confirm whether any product-integrated AI can perform a safety function or directly control mechanical movement.</w:t>
      </w:r>
    </w:p>
    <w:p>
      <w:pPr>
        <w:pStyle w:val="ListNumber"/>
        <w:spacing w:after="40"/>
      </w:pPr>
      <w:r>
        <w:t>Confirm vendor/model data-use, retention, training, and subprocessor arrangements.</w:t>
      </w:r>
    </w:p>
    <w:p>
      <w:pPr>
        <w:pStyle w:val="ListNumber"/>
        <w:spacing w:after="40"/>
      </w:pPr>
      <w:r>
        <w:t>Confirm geographic deployment and affected-person jurisdictions before final legal classification.</w:t>
      </w:r>
    </w:p>
    <w:p>
      <w:pPr>
        <w:pStyle w:val="Heading1"/>
      </w:pPr>
      <w:r>
        <w:t>5. Assumption Change Control</w:t>
      </w:r>
    </w:p>
    <w:p>
      <w:pPr>
        <w:spacing w:after="140"/>
      </w:pPr>
      <w:r>
        <w:t>Any critical assumption that becomes false, materially changes, or cannot be validated should trigger an update to the relevant inventory record and, where appropriate, a new impact assessment, risk assessment, legal triage, or governance approval. The AI Governance Lead records the change; the system owner supplies evidence; the relevant second-line specialist determines whether reassessment is required.</w:t>
      </w:r>
    </w:p>
    <w:p>
      <w:pPr>
        <w:pStyle w:val="Heading1"/>
      </w:pPr>
      <w:r>
        <w:t>Portfolio Disclaimer</w:t>
      </w:r>
    </w:p>
    <w:p>
      <w:pPr>
        <w:pStyle w:val="Callout"/>
      </w:pPr>
      <w:r>
        <w:t>Duckworks, Project W.I.N.G., all personnel, committees, systems, datasets, decisions, and evidence referenced in this document are fictional and were created solely for educational and professional portfolio purposes.</w:t>
      </w:r>
    </w:p>
    <w:sectPr w:rsidR="00FC693F" w:rsidRPr="0006063C" w:rsidSect="00034616">
      <w:headerReference w:type="default" r:id="rId9"/>
      <w:footerReference w:type="default" r:id="rId10"/>
      <w:pgSz w:w="15840" w:h="12240" w:orient="landscape"/>
      <w:pgMar w:top="792" w:right="864" w:bottom="720" w:left="864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Aptos" w:hAnsi="Aptos"/>
        <w:color w:val="5C6670"/>
        <w:sz w:val="16"/>
      </w:rPr>
      <w:t>DW-WING-CHTR-04  |  Version 1.0  |  Fictional portfolio project</w:t>
    </w:r>
  </w:p>
  <w:p>
    <w:pPr>
      <w:jc w:val="right"/>
    </w:pPr>
    <w:r>
      <w:rPr>
        <w:color w:val="5C6670"/>
        <w:sz w:val="16"/>
      </w:rPr>
      <w:t xml:space="preserve">Page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ptos" w:hAnsi="Aptos"/>
        <w:b/>
        <w:color w:val="2F6F6D"/>
        <w:sz w:val="16"/>
      </w:rPr>
      <w:t>DUCKWORKS  |  PROJECT W.I.N.G.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Aptos" w:hAnsi="Aptos"/>
      <w:b/>
      <w:bCs/>
      <w:color w:val="18324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ptos" w:hAnsi="Aptos"/>
      <w:b/>
      <w:bCs/>
      <w:color w:val="2F6F6D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ptos" w:hAnsi="Aptos"/>
      <w:b/>
      <w:bCs/>
      <w:color w:val="5C667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160"/>
      <w:contextualSpacing/>
    </w:pPr>
    <w:rPr>
      <w:rFonts w:asciiTheme="majorHAnsi" w:eastAsiaTheme="majorEastAsia" w:hAnsiTheme="majorHAnsi" w:cstheme="majorBidi" w:ascii="Aptos Display" w:hAnsi="Aptos Display"/>
      <w:b/>
      <w:color w:val="18324A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llout">
    <w:name w:val="Callout"/>
    <w:pPr>
      <w:spacing w:before="80" w:after="160"/>
      <w:ind w:left="360" w:right="360"/>
    </w:pPr>
    <w:rPr>
      <w:rFonts w:ascii="Aptos" w:hAnsi="Aptos"/>
      <w:i/>
      <w:color w:val="2F6F6D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