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18324A"/>
            <w:tcMar>
              <w:top w:w="170" w:type="dxa"/>
              <w:start w:w="180" w:type="dxa"/>
              <w:bottom w:w="160" w:type="dxa"/>
              <w:end w:w="180" w:type="dxa"/>
            </w:tcMar>
          </w:tcPr>
          <w:p>
            <w:pPr>
              <w:jc w:val="left"/>
            </w:pPr>
            <w:r>
              <w:rPr>
                <w:rFonts w:ascii="Aptos Display" w:hAnsi="Aptos Display"/>
                <w:b/>
                <w:color w:val="FFFFFF"/>
                <w:sz w:val="44"/>
              </w:rPr>
              <w:t>Duckworks AI Governance Project — Required Deliverables</w:t>
            </w:r>
          </w:p>
          <w:p>
            <w:r>
              <w:rPr>
                <w:rFonts w:ascii="Aptos" w:hAnsi="Aptos"/>
                <w:color w:val="DCE8EA"/>
                <w:sz w:val="20"/>
              </w:rPr>
              <w:t>The minimum artifact set required to move Duckworks from scattered AI adoption to an auditable governance baseline.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  <w:shd w:fill="EAF2F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b/>
                <w:color w:val="5C6670"/>
                <w:sz w:val="15"/>
              </w:rPr>
              <w:t>Document ID</w:t>
              <w:br/>
            </w:r>
            <w:r>
              <w:rPr>
                <w:color w:val="18324A"/>
                <w:sz w:val="18"/>
              </w:rPr>
              <w:t>DW-WING-CHTR-05</w:t>
            </w:r>
          </w:p>
        </w:tc>
        <w:tc>
          <w:tcPr>
            <w:tcW w:type="dxa" w:w="3528"/>
            <w:shd w:fill="EAF2F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b/>
                <w:color w:val="5C6670"/>
                <w:sz w:val="15"/>
              </w:rPr>
              <w:t>Version</w:t>
              <w:br/>
            </w:r>
            <w:r>
              <w:rPr>
                <w:color w:val="18324A"/>
                <w:sz w:val="18"/>
              </w:rPr>
              <w:t>1.0</w:t>
            </w:r>
          </w:p>
        </w:tc>
        <w:tc>
          <w:tcPr>
            <w:tcW w:type="dxa" w:w="3528"/>
            <w:shd w:fill="EAF2F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b/>
                <w:color w:val="5C6670"/>
                <w:sz w:val="15"/>
              </w:rPr>
              <w:t>Status</w:t>
              <w:br/>
            </w:r>
            <w:r>
              <w:rPr>
                <w:color w:val="18324A"/>
                <w:sz w:val="18"/>
              </w:rPr>
              <w:t>Portfolio Baseline</w:t>
            </w:r>
          </w:p>
        </w:tc>
        <w:tc>
          <w:tcPr>
            <w:tcW w:type="dxa" w:w="3528"/>
            <w:shd w:fill="EAF2F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b/>
                <w:color w:val="5C6670"/>
                <w:sz w:val="15"/>
              </w:rPr>
              <w:t>Organization</w:t>
              <w:br/>
            </w:r>
            <w:r>
              <w:rPr>
                <w:color w:val="18324A"/>
                <w:sz w:val="18"/>
              </w:rPr>
              <w:t>Duckworks</w:t>
            </w:r>
          </w:p>
        </w:tc>
      </w:tr>
    </w:tbl>
    <w:p/>
    <w:p>
      <w:pPr>
        <w:pStyle w:val="Heading1"/>
      </w:pPr>
      <w:r>
        <w:t>1. Purpose</w:t>
      </w:r>
    </w:p>
    <w:p>
      <w:pPr>
        <w:spacing w:after="140"/>
      </w:pPr>
      <w:r>
        <w:t>This document defines the required outputs of the initial Duckworks AI Governance Project. Deliverables are organized as a dependency chain: foundational governance artifacts must exist before system decisions, control testing, reporting, and assurance can be considered complete.</w:t>
      </w:r>
    </w:p>
    <w:p>
      <w:pPr>
        <w:pStyle w:val="Callout"/>
      </w:pPr>
      <w:r>
        <w:t>Duckworks delivery principle: “A pretty policy without an owner, workflow, evidence trail, and operating decision is decoration—not governance.”</w:t>
      </w:r>
    </w:p>
    <w:p>
      <w:pPr>
        <w:pStyle w:val="Heading1"/>
      </w:pPr>
      <w:r>
        <w:t>2. Deliverable Families</w:t>
      </w:r>
    </w:p>
    <w:p>
      <w:pPr>
        <w:pStyle w:val="ListBullet"/>
        <w:spacing w:after="40"/>
      </w:pPr>
      <w:r>
        <w:rPr>
          <w:b/>
        </w:rPr>
        <w:t xml:space="preserve">Charter &amp; context — </w:t>
      </w:r>
      <w:r>
        <w:t>why the project exists, what it covers, assumptions, stakeholders, and success criteria.</w:t>
      </w:r>
    </w:p>
    <w:p>
      <w:pPr>
        <w:pStyle w:val="ListBullet"/>
        <w:spacing w:after="40"/>
      </w:pPr>
      <w:r>
        <w:rPr>
          <w:b/>
        </w:rPr>
        <w:t xml:space="preserve">Inventory &amp; intake — </w:t>
      </w:r>
      <w:r>
        <w:t>what AI exists and how new use cases enter governance.</w:t>
      </w:r>
    </w:p>
    <w:p>
      <w:pPr>
        <w:pStyle w:val="ListBullet"/>
        <w:spacing w:after="40"/>
      </w:pPr>
      <w:r>
        <w:rPr>
          <w:b/>
        </w:rPr>
        <w:t xml:space="preserve">Assessment — </w:t>
      </w:r>
      <w:r>
        <w:t>how risk and impact are evaluated and documented.</w:t>
      </w:r>
    </w:p>
    <w:p>
      <w:pPr>
        <w:pStyle w:val="ListBullet"/>
        <w:spacing w:after="40"/>
      </w:pPr>
      <w:r>
        <w:rPr>
          <w:b/>
        </w:rPr>
        <w:t xml:space="preserve">Controls &amp; policy — </w:t>
      </w:r>
      <w:r>
        <w:t>what must be done, by whom, and with what evidence.</w:t>
      </w:r>
    </w:p>
    <w:p>
      <w:pPr>
        <w:pStyle w:val="ListBullet"/>
        <w:spacing w:after="40"/>
      </w:pPr>
      <w:r>
        <w:rPr>
          <w:b/>
        </w:rPr>
        <w:t xml:space="preserve">Monitoring &amp; assurance — </w:t>
      </w:r>
      <w:r>
        <w:t>how Duckworks knows controls continue to work and can prove it.</w:t>
      </w:r>
    </w:p>
    <w:p>
      <w:pPr>
        <w:pStyle w:val="ListBullet"/>
        <w:spacing w:after="40"/>
      </w:pPr>
      <w:r>
        <w:rPr>
          <w:b/>
        </w:rPr>
        <w:t xml:space="preserve">Executive reporting — </w:t>
      </w:r>
      <w:r>
        <w:t>how leadership receives a prioritized portfolio view rather than raw technical data.</w:t>
      </w:r>
    </w:p>
    <w:p>
      <w:pPr>
        <w:pStyle w:val="Heading1"/>
      </w:pPr>
      <w:r>
        <w:t>3. Required Deliverables Register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792"/>
            <w:shd w:fill="1832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ID</w:t>
            </w:r>
          </w:p>
        </w:tc>
        <w:tc>
          <w:tcPr>
            <w:tcW w:type="dxa" w:w="2232"/>
            <w:shd w:fill="1832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Deliverable</w:t>
            </w:r>
          </w:p>
        </w:tc>
        <w:tc>
          <w:tcPr>
            <w:tcW w:type="dxa" w:w="3744"/>
            <w:shd w:fill="1832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1872"/>
            <w:shd w:fill="1832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Owner</w:t>
            </w:r>
          </w:p>
        </w:tc>
        <w:tc>
          <w:tcPr>
            <w:tcW w:type="dxa" w:w="1296"/>
            <w:shd w:fill="1832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Format</w:t>
            </w:r>
          </w:p>
        </w:tc>
        <w:tc>
          <w:tcPr>
            <w:tcW w:type="dxa" w:w="1080"/>
            <w:shd w:fill="1832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2376"/>
            <w:shd w:fill="1832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Completion Evidence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DEL-01</w:t>
            </w:r>
          </w:p>
        </w:tc>
        <w:tc>
          <w:tcPr>
            <w:tcW w:type="dxa" w:w="223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Executive Case Study</w:t>
            </w:r>
          </w:p>
        </w:tc>
        <w:tc>
          <w:tcPr>
            <w:tcW w:type="dxa" w:w="374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Concise organization, objectives, scope, assumptions, and key findings.</w:t>
            </w:r>
          </w:p>
        </w:tc>
        <w:tc>
          <w:tcPr>
            <w:tcW w:type="dxa" w:w="187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Project Sponsor / AI Governance Lead</w:t>
            </w:r>
          </w:p>
        </w:tc>
        <w:tc>
          <w:tcPr>
            <w:tcW w:type="dxa" w:w="12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DOCX / PDF</w:t>
            </w:r>
          </w:p>
        </w:tc>
        <w:tc>
          <w:tcPr>
            <w:tcW w:type="dxa" w:w="10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Complete</w:t>
            </w:r>
          </w:p>
        </w:tc>
        <w:tc>
          <w:tcPr>
            <w:tcW w:type="dxa" w:w="237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Executive baseline approved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DEL-02</w:t>
            </w:r>
          </w:p>
        </w:tc>
        <w:tc>
          <w:tcPr>
            <w:tcW w:type="dxa" w:w="223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Business Scenario</w:t>
            </w:r>
          </w:p>
        </w:tc>
        <w:tc>
          <w:tcPr>
            <w:tcW w:type="dxa" w:w="3744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Narrative describing Project W.I.N.G., business drivers, seven systems, and governance problem.</w:t>
            </w:r>
          </w:p>
        </w:tc>
        <w:tc>
          <w:tcPr>
            <w:tcW w:type="dxa" w:w="187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AI Governance Lead</w:t>
            </w:r>
          </w:p>
        </w:tc>
        <w:tc>
          <w:tcPr>
            <w:tcW w:type="dxa" w:w="129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DOCX</w:t>
            </w:r>
          </w:p>
        </w:tc>
        <w:tc>
          <w:tcPr>
            <w:tcW w:type="dxa" w:w="108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Complete</w:t>
            </w:r>
          </w:p>
        </w:tc>
        <w:tc>
          <w:tcPr>
            <w:tcW w:type="dxa" w:w="237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Scenario consistent with inventory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DEL-03</w:t>
            </w:r>
          </w:p>
        </w:tc>
        <w:tc>
          <w:tcPr>
            <w:tcW w:type="dxa" w:w="223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Project Objectives</w:t>
            </w:r>
          </w:p>
        </w:tc>
        <w:tc>
          <w:tcPr>
            <w:tcW w:type="dxa" w:w="374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Defined primary and specific objectives with target outcome.</w:t>
            </w:r>
          </w:p>
        </w:tc>
        <w:tc>
          <w:tcPr>
            <w:tcW w:type="dxa" w:w="187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AI Governance Lead</w:t>
            </w:r>
          </w:p>
        </w:tc>
        <w:tc>
          <w:tcPr>
            <w:tcW w:type="dxa" w:w="12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DOCX</w:t>
            </w:r>
          </w:p>
        </w:tc>
        <w:tc>
          <w:tcPr>
            <w:tcW w:type="dxa" w:w="10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Complete</w:t>
            </w:r>
          </w:p>
        </w:tc>
        <w:tc>
          <w:tcPr>
            <w:tcW w:type="dxa" w:w="237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Objectives trace to deliverables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DEL-04</w:t>
            </w:r>
          </w:p>
        </w:tc>
        <w:tc>
          <w:tcPr>
            <w:tcW w:type="dxa" w:w="223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In-Scope / Out-of-Scope</w:t>
            </w:r>
          </w:p>
        </w:tc>
        <w:tc>
          <w:tcPr>
            <w:tcW w:type="dxa" w:w="3744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Formal project boundaries and future-scope items.</w:t>
            </w:r>
          </w:p>
        </w:tc>
        <w:tc>
          <w:tcPr>
            <w:tcW w:type="dxa" w:w="187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AI Governance Lead</w:t>
            </w:r>
          </w:p>
        </w:tc>
        <w:tc>
          <w:tcPr>
            <w:tcW w:type="dxa" w:w="129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DOCX</w:t>
            </w:r>
          </w:p>
        </w:tc>
        <w:tc>
          <w:tcPr>
            <w:tcW w:type="dxa" w:w="108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Complete</w:t>
            </w:r>
          </w:p>
        </w:tc>
        <w:tc>
          <w:tcPr>
            <w:tcW w:type="dxa" w:w="237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No material scope ambiguity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DEL-05</w:t>
            </w:r>
          </w:p>
        </w:tc>
        <w:tc>
          <w:tcPr>
            <w:tcW w:type="dxa" w:w="223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Stakeholder Register</w:t>
            </w:r>
          </w:p>
        </w:tc>
        <w:tc>
          <w:tcPr>
            <w:tcW w:type="dxa" w:w="374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Named executive, first/second/third-line, affected, and representative stakeholders.</w:t>
            </w:r>
          </w:p>
        </w:tc>
        <w:tc>
          <w:tcPr>
            <w:tcW w:type="dxa" w:w="187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AI Governance Lead</w:t>
            </w:r>
          </w:p>
        </w:tc>
        <w:tc>
          <w:tcPr>
            <w:tcW w:type="dxa" w:w="12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DOCX</w:t>
            </w:r>
          </w:p>
        </w:tc>
        <w:tc>
          <w:tcPr>
            <w:tcW w:type="dxa" w:w="10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Required</w:t>
            </w:r>
          </w:p>
        </w:tc>
        <w:tc>
          <w:tcPr>
            <w:tcW w:type="dxa" w:w="237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Roles and engagement model approved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DEL-06</w:t>
            </w:r>
          </w:p>
        </w:tc>
        <w:tc>
          <w:tcPr>
            <w:tcW w:type="dxa" w:w="223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Assumptions Register</w:t>
            </w:r>
          </w:p>
        </w:tc>
        <w:tc>
          <w:tcPr>
            <w:tcW w:type="dxa" w:w="3744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Controlled assumptions with materiality and validation requirements.</w:t>
            </w:r>
          </w:p>
        </w:tc>
        <w:tc>
          <w:tcPr>
            <w:tcW w:type="dxa" w:w="187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AI Governance Lead + System Owners</w:t>
            </w:r>
          </w:p>
        </w:tc>
        <w:tc>
          <w:tcPr>
            <w:tcW w:type="dxa" w:w="129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DOCX / XLSX</w:t>
            </w:r>
          </w:p>
        </w:tc>
        <w:tc>
          <w:tcPr>
            <w:tcW w:type="dxa" w:w="108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Required</w:t>
            </w:r>
          </w:p>
        </w:tc>
        <w:tc>
          <w:tcPr>
            <w:tcW w:type="dxa" w:w="237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Critical assumptions identifiable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DEL-07</w:t>
            </w:r>
          </w:p>
        </w:tc>
        <w:tc>
          <w:tcPr>
            <w:tcW w:type="dxa" w:w="223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Acceptance Criteria</w:t>
            </w:r>
          </w:p>
        </w:tc>
        <w:tc>
          <w:tcPr>
            <w:tcW w:type="dxa" w:w="374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Measurable conditions for project and artifact acceptance.</w:t>
            </w:r>
          </w:p>
        </w:tc>
        <w:tc>
          <w:tcPr>
            <w:tcW w:type="dxa" w:w="187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Project Sponsor</w:t>
            </w:r>
          </w:p>
        </w:tc>
        <w:tc>
          <w:tcPr>
            <w:tcW w:type="dxa" w:w="12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DOCX</w:t>
            </w:r>
          </w:p>
        </w:tc>
        <w:tc>
          <w:tcPr>
            <w:tcW w:type="dxa" w:w="10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Required</w:t>
            </w:r>
          </w:p>
        </w:tc>
        <w:tc>
          <w:tcPr>
            <w:tcW w:type="dxa" w:w="237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Evidence and approvers defined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DEL-08</w:t>
            </w:r>
          </w:p>
        </w:tc>
        <w:tc>
          <w:tcPr>
            <w:tcW w:type="dxa" w:w="223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QuackTrack AI System Inventory</w:t>
            </w:r>
          </w:p>
        </w:tc>
        <w:tc>
          <w:tcPr>
            <w:tcW w:type="dxa" w:w="3744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Central register of approved, pilot, planned, and discovered AI use cases.</w:t>
            </w:r>
          </w:p>
        </w:tc>
        <w:tc>
          <w:tcPr>
            <w:tcW w:type="dxa" w:w="187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AI Governance Lead</w:t>
            </w:r>
          </w:p>
        </w:tc>
        <w:tc>
          <w:tcPr>
            <w:tcW w:type="dxa" w:w="129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XLSX</w:t>
            </w:r>
          </w:p>
        </w:tc>
        <w:tc>
          <w:tcPr>
            <w:tcW w:type="dxa" w:w="108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Complete</w:t>
            </w:r>
          </w:p>
        </w:tc>
        <w:tc>
          <w:tcPr>
            <w:tcW w:type="dxa" w:w="237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All seven baseline entries populated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DEL-09</w:t>
            </w:r>
          </w:p>
        </w:tc>
        <w:tc>
          <w:tcPr>
            <w:tcW w:type="dxa" w:w="223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Pond-to-Production AI Intake Form &amp; Workflow</w:t>
            </w:r>
          </w:p>
        </w:tc>
        <w:tc>
          <w:tcPr>
            <w:tcW w:type="dxa" w:w="374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Standard intake and lifecycle gate workflow for new or materially changed AI.</w:t>
            </w:r>
          </w:p>
        </w:tc>
        <w:tc>
          <w:tcPr>
            <w:tcW w:type="dxa" w:w="187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AI Governance + Technology</w:t>
            </w:r>
          </w:p>
        </w:tc>
        <w:tc>
          <w:tcPr>
            <w:tcW w:type="dxa" w:w="12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DOCX / form</w:t>
            </w:r>
          </w:p>
        </w:tc>
        <w:tc>
          <w:tcPr>
            <w:tcW w:type="dxa" w:w="10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Planned</w:t>
            </w:r>
          </w:p>
        </w:tc>
        <w:tc>
          <w:tcPr>
            <w:tcW w:type="dxa" w:w="237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New material AI cannot bypass registration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DEL-10</w:t>
            </w:r>
          </w:p>
        </w:tc>
        <w:tc>
          <w:tcPr>
            <w:tcW w:type="dxa" w:w="223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AI Risk Classification &amp; Assessment Methodology</w:t>
            </w:r>
          </w:p>
        </w:tc>
        <w:tc>
          <w:tcPr>
            <w:tcW w:type="dxa" w:w="3744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Risk domains, 5x5 criteria, inherent/current/target residual method, treatment and escalation.</w:t>
            </w:r>
          </w:p>
        </w:tc>
        <w:tc>
          <w:tcPr>
            <w:tcW w:type="dxa" w:w="187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Risk &amp; Compliance</w:t>
            </w:r>
          </w:p>
        </w:tc>
        <w:tc>
          <w:tcPr>
            <w:tcW w:type="dxa" w:w="129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DOCX</w:t>
            </w:r>
          </w:p>
        </w:tc>
        <w:tc>
          <w:tcPr>
            <w:tcW w:type="dxa" w:w="108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Complete</w:t>
            </w:r>
          </w:p>
        </w:tc>
        <w:tc>
          <w:tcPr>
            <w:tcW w:type="dxa" w:w="237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Repeatable, auditable methodology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DEL-11</w:t>
            </w:r>
          </w:p>
        </w:tc>
        <w:tc>
          <w:tcPr>
            <w:tcW w:type="dxa" w:w="223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System Risk Assessment Pack</w:t>
            </w:r>
          </w:p>
        </w:tc>
        <w:tc>
          <w:tcPr>
            <w:tcW w:type="dxa" w:w="374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Risk assessments applied to all seven baseline entries.</w:t>
            </w:r>
          </w:p>
        </w:tc>
        <w:tc>
          <w:tcPr>
            <w:tcW w:type="dxa" w:w="187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System Owners + Risk</w:t>
            </w:r>
          </w:p>
        </w:tc>
        <w:tc>
          <w:tcPr>
            <w:tcW w:type="dxa" w:w="12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DOCX / XLSX</w:t>
            </w:r>
          </w:p>
        </w:tc>
        <w:tc>
          <w:tcPr>
            <w:tcW w:type="dxa" w:w="10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Complete</w:t>
            </w:r>
          </w:p>
        </w:tc>
        <w:tc>
          <w:tcPr>
            <w:tcW w:type="dxa" w:w="237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Scores trace to scenarios/controls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DEL-12</w:t>
            </w:r>
          </w:p>
        </w:tc>
        <w:tc>
          <w:tcPr>
            <w:tcW w:type="dxa" w:w="223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AI Impact Assessment Pack</w:t>
            </w:r>
          </w:p>
        </w:tc>
        <w:tc>
          <w:tcPr>
            <w:tcW w:type="dxa" w:w="3744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Impact assessments for all seven entries, including affected persons and safeguards.</w:t>
            </w:r>
          </w:p>
        </w:tc>
        <w:tc>
          <w:tcPr>
            <w:tcW w:type="dxa" w:w="187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System Owners + AI Governance</w:t>
            </w:r>
          </w:p>
        </w:tc>
        <w:tc>
          <w:tcPr>
            <w:tcW w:type="dxa" w:w="129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DOCX</w:t>
            </w:r>
          </w:p>
        </w:tc>
        <w:tc>
          <w:tcPr>
            <w:tcW w:type="dxa" w:w="108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Complete</w:t>
            </w:r>
          </w:p>
        </w:tc>
        <w:tc>
          <w:tcPr>
            <w:tcW w:type="dxa" w:w="237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Decision and monitoring conditions documented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DEL-13</w:t>
            </w:r>
          </w:p>
        </w:tc>
        <w:tc>
          <w:tcPr>
            <w:tcW w:type="dxa" w:w="223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AI Governance Operating Model</w:t>
            </w:r>
          </w:p>
        </w:tc>
        <w:tc>
          <w:tcPr>
            <w:tcW w:type="dxa" w:w="374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Committee charter, decision rights, escalation, three-lines model, and governance lifecycle.</w:t>
            </w:r>
          </w:p>
        </w:tc>
        <w:tc>
          <w:tcPr>
            <w:tcW w:type="dxa" w:w="187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CRCO / AI Governance Lead</w:t>
            </w:r>
          </w:p>
        </w:tc>
        <w:tc>
          <w:tcPr>
            <w:tcW w:type="dxa" w:w="12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DOCX</w:t>
            </w:r>
          </w:p>
        </w:tc>
        <w:tc>
          <w:tcPr>
            <w:tcW w:type="dxa" w:w="10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Planned</w:t>
            </w:r>
          </w:p>
        </w:tc>
        <w:tc>
          <w:tcPr>
            <w:tcW w:type="dxa" w:w="237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Decision authority is unambiguous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DEL-14</w:t>
            </w:r>
          </w:p>
        </w:tc>
        <w:tc>
          <w:tcPr>
            <w:tcW w:type="dxa" w:w="223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Duckworks AI RACI</w:t>
            </w:r>
          </w:p>
        </w:tc>
        <w:tc>
          <w:tcPr>
            <w:tcW w:type="dxa" w:w="3744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Responsibility matrix across lifecycle and specialist review activities.</w:t>
            </w:r>
          </w:p>
        </w:tc>
        <w:tc>
          <w:tcPr>
            <w:tcW w:type="dxa" w:w="187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AI Governance Lead</w:t>
            </w:r>
          </w:p>
        </w:tc>
        <w:tc>
          <w:tcPr>
            <w:tcW w:type="dxa" w:w="129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XLSX / DOCX</w:t>
            </w:r>
          </w:p>
        </w:tc>
        <w:tc>
          <w:tcPr>
            <w:tcW w:type="dxa" w:w="108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Planned</w:t>
            </w:r>
          </w:p>
        </w:tc>
        <w:tc>
          <w:tcPr>
            <w:tcW w:type="dxa" w:w="237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Every key activity has one accountable owner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DEL-15</w:t>
            </w:r>
          </w:p>
        </w:tc>
        <w:tc>
          <w:tcPr>
            <w:tcW w:type="dxa" w:w="223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AI Control Library</w:t>
            </w:r>
          </w:p>
        </w:tc>
        <w:tc>
          <w:tcPr>
            <w:tcW w:type="dxa" w:w="374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Control objectives, owners, frequency, evidence, testing, risks, mappings, and implementation status.</w:t>
            </w:r>
          </w:p>
        </w:tc>
        <w:tc>
          <w:tcPr>
            <w:tcW w:type="dxa" w:w="187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Risk / Security / Privacy / Technology</w:t>
            </w:r>
          </w:p>
        </w:tc>
        <w:tc>
          <w:tcPr>
            <w:tcW w:type="dxa" w:w="12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XLSX</w:t>
            </w:r>
          </w:p>
        </w:tc>
        <w:tc>
          <w:tcPr>
            <w:tcW w:type="dxa" w:w="10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Planned</w:t>
            </w:r>
          </w:p>
        </w:tc>
        <w:tc>
          <w:tcPr>
            <w:tcW w:type="dxa" w:w="237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Controls trace to material risks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DEL-16</w:t>
            </w:r>
          </w:p>
        </w:tc>
        <w:tc>
          <w:tcPr>
            <w:tcW w:type="dxa" w:w="223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FeatherSafe AI Acceptable Use Standard</w:t>
            </w:r>
          </w:p>
        </w:tc>
        <w:tc>
          <w:tcPr>
            <w:tcW w:type="dxa" w:w="3744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Rules for public GenAI, sensitive data, approved tools, prohibited practices, reporting, and exceptions.</w:t>
            </w:r>
          </w:p>
        </w:tc>
        <w:tc>
          <w:tcPr>
            <w:tcW w:type="dxa" w:w="187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CISO + CRCO</w:t>
            </w:r>
          </w:p>
        </w:tc>
        <w:tc>
          <w:tcPr>
            <w:tcW w:type="dxa" w:w="129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DOCX</w:t>
            </w:r>
          </w:p>
        </w:tc>
        <w:tc>
          <w:tcPr>
            <w:tcW w:type="dxa" w:w="108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Planned</w:t>
            </w:r>
          </w:p>
        </w:tc>
        <w:tc>
          <w:tcPr>
            <w:tcW w:type="dxa" w:w="237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Shadow AI containment requirements clear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DEL-17</w:t>
            </w:r>
          </w:p>
        </w:tc>
        <w:tc>
          <w:tcPr>
            <w:tcW w:type="dxa" w:w="223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Third-Party AI Due Diligence Questionnaire</w:t>
            </w:r>
          </w:p>
        </w:tc>
        <w:tc>
          <w:tcPr>
            <w:tcW w:type="dxa" w:w="374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AI-specific supplier security, privacy, training data, change, incident, IP, resilience, and exit review.</w:t>
            </w:r>
          </w:p>
        </w:tc>
        <w:tc>
          <w:tcPr>
            <w:tcW w:type="dxa" w:w="187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Procurement + Security + Privacy</w:t>
            </w:r>
          </w:p>
        </w:tc>
        <w:tc>
          <w:tcPr>
            <w:tcW w:type="dxa" w:w="12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DOCX / XLSX</w:t>
            </w:r>
          </w:p>
        </w:tc>
        <w:tc>
          <w:tcPr>
            <w:tcW w:type="dxa" w:w="10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Planned</w:t>
            </w:r>
          </w:p>
        </w:tc>
        <w:tc>
          <w:tcPr>
            <w:tcW w:type="dxa" w:w="237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No material AI vendor bypasses due diligence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DEL-18</w:t>
            </w:r>
          </w:p>
        </w:tc>
        <w:tc>
          <w:tcPr>
            <w:tcW w:type="dxa" w:w="223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AI Incident &amp; Escalation Playbook</w:t>
            </w:r>
          </w:p>
        </w:tc>
        <w:tc>
          <w:tcPr>
            <w:tcW w:type="dxa" w:w="3744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AI-specific incident taxonomy, triage, escalation, containment, evidence, regulatory/legal handoff, lessons learned.</w:t>
            </w:r>
          </w:p>
        </w:tc>
        <w:tc>
          <w:tcPr>
            <w:tcW w:type="dxa" w:w="187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CISO + AI Governance</w:t>
            </w:r>
          </w:p>
        </w:tc>
        <w:tc>
          <w:tcPr>
            <w:tcW w:type="dxa" w:w="129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DOCX</w:t>
            </w:r>
          </w:p>
        </w:tc>
        <w:tc>
          <w:tcPr>
            <w:tcW w:type="dxa" w:w="108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Planned</w:t>
            </w:r>
          </w:p>
        </w:tc>
        <w:tc>
          <w:tcPr>
            <w:tcW w:type="dxa" w:w="237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Material AI incidents have defined route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DEL-19</w:t>
            </w:r>
          </w:p>
        </w:tc>
        <w:tc>
          <w:tcPr>
            <w:tcW w:type="dxa" w:w="223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Human Oversight Standard</w:t>
            </w:r>
          </w:p>
        </w:tc>
        <w:tc>
          <w:tcPr>
            <w:tcW w:type="dxa" w:w="374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Competence, override authority, escalation, logging, contestability, and automation-bias safeguards.</w:t>
            </w:r>
          </w:p>
        </w:tc>
        <w:tc>
          <w:tcPr>
            <w:tcW w:type="dxa" w:w="187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AI Governance + Business Owners</w:t>
            </w:r>
          </w:p>
        </w:tc>
        <w:tc>
          <w:tcPr>
            <w:tcW w:type="dxa" w:w="12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DOCX</w:t>
            </w:r>
          </w:p>
        </w:tc>
        <w:tc>
          <w:tcPr>
            <w:tcW w:type="dxa" w:w="10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Planned</w:t>
            </w:r>
          </w:p>
        </w:tc>
        <w:tc>
          <w:tcPr>
            <w:tcW w:type="dxa" w:w="237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High-impact decisions retain meaningful oversight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DEL-20</w:t>
            </w:r>
          </w:p>
        </w:tc>
        <w:tc>
          <w:tcPr>
            <w:tcW w:type="dxa" w:w="223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AI Monitoring &amp; Reassessment Standard</w:t>
            </w:r>
          </w:p>
        </w:tc>
        <w:tc>
          <w:tcPr>
            <w:tcW w:type="dxa" w:w="3744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KPIs/KRIs, drift, complaints, override, incident, vendor/model change, and reassessment triggers.</w:t>
            </w:r>
          </w:p>
        </w:tc>
        <w:tc>
          <w:tcPr>
            <w:tcW w:type="dxa" w:w="187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Data &amp; AI + Risk</w:t>
            </w:r>
          </w:p>
        </w:tc>
        <w:tc>
          <w:tcPr>
            <w:tcW w:type="dxa" w:w="129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DOCX</w:t>
            </w:r>
          </w:p>
        </w:tc>
        <w:tc>
          <w:tcPr>
            <w:tcW w:type="dxa" w:w="108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Planned</w:t>
            </w:r>
          </w:p>
        </w:tc>
        <w:tc>
          <w:tcPr>
            <w:tcW w:type="dxa" w:w="237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Post-deployment monitoring is explicit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DEL-21</w:t>
            </w:r>
          </w:p>
        </w:tc>
        <w:tc>
          <w:tcPr>
            <w:tcW w:type="dxa" w:w="223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DuckPond Governance Dashboard</w:t>
            </w:r>
          </w:p>
        </w:tc>
        <w:tc>
          <w:tcPr>
            <w:tcW w:type="dxa" w:w="374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Portfolio metrics: inventory, lifecycle, risk, approvals, overdue actions, vendors, incidents, reassessments.</w:t>
            </w:r>
          </w:p>
        </w:tc>
        <w:tc>
          <w:tcPr>
            <w:tcW w:type="dxa" w:w="187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AI Governance Lead</w:t>
            </w:r>
          </w:p>
        </w:tc>
        <w:tc>
          <w:tcPr>
            <w:tcW w:type="dxa" w:w="12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XLSX / BI mock-up</w:t>
            </w:r>
          </w:p>
        </w:tc>
        <w:tc>
          <w:tcPr>
            <w:tcW w:type="dxa" w:w="10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Planned</w:t>
            </w:r>
          </w:p>
        </w:tc>
        <w:tc>
          <w:tcPr>
            <w:tcW w:type="dxa" w:w="237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Management can prioritize from one view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DEL-22</w:t>
            </w:r>
          </w:p>
        </w:tc>
        <w:tc>
          <w:tcPr>
            <w:tcW w:type="dxa" w:w="223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Framework / Legislation Reference File</w:t>
            </w:r>
          </w:p>
        </w:tc>
        <w:tc>
          <w:tcPr>
            <w:tcW w:type="dxa" w:w="3744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Public authoritative source catalogue and system applicability map.</w:t>
            </w:r>
          </w:p>
        </w:tc>
        <w:tc>
          <w:tcPr>
            <w:tcW w:type="dxa" w:w="187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AI Governance Lead</w:t>
            </w:r>
          </w:p>
        </w:tc>
        <w:tc>
          <w:tcPr>
            <w:tcW w:type="dxa" w:w="129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MD</w:t>
            </w:r>
          </w:p>
        </w:tc>
        <w:tc>
          <w:tcPr>
            <w:tcW w:type="dxa" w:w="108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Complete</w:t>
            </w:r>
          </w:p>
        </w:tc>
        <w:tc>
          <w:tcPr>
            <w:tcW w:type="dxa" w:w="237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Official-source references maintained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DEL-23</w:t>
            </w:r>
          </w:p>
        </w:tc>
        <w:tc>
          <w:tcPr>
            <w:tcW w:type="dxa" w:w="223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AI Assurance &amp; Internal Audit Program</w:t>
            </w:r>
          </w:p>
        </w:tc>
        <w:tc>
          <w:tcPr>
            <w:tcW w:type="dxa" w:w="3744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Risk-based audit universe, control tests, evidence expectations, and sample workpapers.</w:t>
            </w:r>
          </w:p>
        </w:tc>
        <w:tc>
          <w:tcPr>
            <w:tcW w:type="dxa" w:w="1872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Internal Audit</w:t>
            </w:r>
          </w:p>
        </w:tc>
        <w:tc>
          <w:tcPr>
            <w:tcW w:type="dxa" w:w="129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DOCX / XLSX</w:t>
            </w:r>
          </w:p>
        </w:tc>
        <w:tc>
          <w:tcPr>
            <w:tcW w:type="dxa" w:w="1080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Future phase</w:t>
            </w:r>
          </w:p>
        </w:tc>
        <w:tc>
          <w:tcPr>
            <w:tcW w:type="dxa" w:w="2376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Independent assurance can be executed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DEL-24</w:t>
            </w:r>
          </w:p>
        </w:tc>
        <w:tc>
          <w:tcPr>
            <w:tcW w:type="dxa" w:w="223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Implementation Roadmap</w:t>
            </w:r>
          </w:p>
        </w:tc>
        <w:tc>
          <w:tcPr>
            <w:tcW w:type="dxa" w:w="3744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90-day / six-month sequence, owners, dependencies, quick wins, and key decision gates.</w:t>
            </w:r>
          </w:p>
        </w:tc>
        <w:tc>
          <w:tcPr>
            <w:tcW w:type="dxa" w:w="1872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AI Governance Lead</w:t>
            </w:r>
          </w:p>
        </w:tc>
        <w:tc>
          <w:tcPr>
            <w:tcW w:type="dxa" w:w="129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DOCX / XLSX</w:t>
            </w:r>
          </w:p>
        </w:tc>
        <w:tc>
          <w:tcPr>
            <w:tcW w:type="dxa" w:w="1080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Planned</w:t>
            </w:r>
          </w:p>
        </w:tc>
        <w:tc>
          <w:tcPr>
            <w:tcW w:type="dxa" w:w="2376"/>
            <w:vAlign w:val="center"/>
            <w:shd w:fill="F6F8FA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8324A"/>
                <w:sz w:val="14"/>
              </w:rPr>
              <w:t>Prioritized implementation path approved</w:t>
            </w:r>
          </w:p>
        </w:tc>
      </w:tr>
    </w:tbl>
    <w:p/>
    <w:p>
      <w:pPr>
        <w:pStyle w:val="Heading1"/>
      </w:pPr>
      <w:r>
        <w:t>4. Minimum Repository Structure</w:t>
      </w:r>
    </w:p>
    <w:p>
      <w:r>
        <w:rPr>
          <w:rFonts w:ascii="Consolas" w:hAnsi="Consolas"/>
          <w:color w:val="18324A"/>
          <w:sz w:val="17"/>
        </w:rPr>
        <w:t>duckworks-ai-governance/</w:t>
        <w:br/>
        <w:t>├── 00-executive-case-study/</w:t>
        <w:br/>
        <w:t>├── 01-project-charter/</w:t>
        <w:br/>
        <w:t>├── 02-ai-inventory-and-intake/</w:t>
        <w:br/>
        <w:t>├── 03-risk-assessment/</w:t>
        <w:br/>
        <w:t>├── 04-impact-assessments/</w:t>
        <w:br/>
        <w:t>├── 05-governance-operating-model/</w:t>
        <w:br/>
        <w:t>├── 06-control-framework/</w:t>
        <w:br/>
        <w:t>├── 07-policies-and-standards/</w:t>
        <w:br/>
        <w:t>├── 08-third-party-governance/</w:t>
        <w:br/>
        <w:t>├── 09-monitoring-and-dashboard/</w:t>
        <w:br/>
        <w:t>├── 10-assurance/</w:t>
        <w:br/>
        <w:t>├── 11-roadmap/</w:t>
        <w:br/>
        <w:t>└── REFERENCES.md</w:t>
      </w:r>
    </w:p>
    <w:p>
      <w:pPr>
        <w:pStyle w:val="Heading1"/>
      </w:pPr>
      <w:r>
        <w:t>5. Deliverable Dependency Sequence</w:t>
      </w:r>
    </w:p>
    <w:p>
      <w:pPr>
        <w:pStyle w:val="ListNumber"/>
        <w:spacing w:after="40"/>
      </w:pPr>
      <w:r>
        <w:t>Approve context: scenario, objectives, scope, stakeholders, assumptions, acceptance criteria.</w:t>
      </w:r>
    </w:p>
    <w:p>
      <w:pPr>
        <w:pStyle w:val="ListNumber"/>
        <w:spacing w:after="40"/>
      </w:pPr>
      <w:r>
        <w:t>Establish visibility: inventory and intake workflow.</w:t>
      </w:r>
    </w:p>
    <w:p>
      <w:pPr>
        <w:pStyle w:val="ListNumber"/>
        <w:spacing w:after="40"/>
      </w:pPr>
      <w:r>
        <w:t>Assess: risk methodology, risk assessments, and impact assessments.</w:t>
      </w:r>
    </w:p>
    <w:p>
      <w:pPr>
        <w:pStyle w:val="ListNumber"/>
        <w:spacing w:after="40"/>
      </w:pPr>
      <w:r>
        <w:t>Govern: operating model, RACI, policy/standards, control library, supplier requirements.</w:t>
      </w:r>
    </w:p>
    <w:p>
      <w:pPr>
        <w:pStyle w:val="ListNumber"/>
        <w:spacing w:after="40"/>
      </w:pPr>
      <w:r>
        <w:t>Operate: monitoring, incident management, reassessment, evidence collection.</w:t>
      </w:r>
    </w:p>
    <w:p>
      <w:pPr>
        <w:pStyle w:val="ListNumber"/>
        <w:spacing w:after="40"/>
      </w:pPr>
      <w:r>
        <w:t>Assure and report: management dashboard, roadmap, and independent assurance plan.</w:t>
      </w:r>
    </w:p>
    <w:p>
      <w:pPr>
        <w:pStyle w:val="Heading1"/>
      </w:pPr>
      <w:r>
        <w:t>Portfolio Disclaimer</w:t>
      </w:r>
    </w:p>
    <w:p>
      <w:pPr>
        <w:pStyle w:val="Callout"/>
      </w:pPr>
      <w:r>
        <w:t>Duckworks, Project W.I.N.G., all personnel, committees, systems, datasets, decisions, and evidence referenced in this document are fictional and were created solely for educational and professional portfolio purposes.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864" w:bottom="720" w:left="86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ptos" w:hAnsi="Aptos"/>
        <w:color w:val="5C6670"/>
        <w:sz w:val="16"/>
      </w:rPr>
      <w:t>DW-WING-CHTR-05  |  Version 1.0  |  Fictional portfolio project</w:t>
    </w:r>
  </w:p>
  <w:p>
    <w:pPr>
      <w:jc w:val="right"/>
    </w:pPr>
    <w:r>
      <w:rPr>
        <w:color w:val="5C6670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2F6F6D"/>
        <w:sz w:val="16"/>
      </w:rPr>
      <w:t>DUCKWORKS  |  PROJECT W.I.N.G.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8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6F6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5C667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832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60"/>
      <w:ind w:left="360" w:right="360"/>
    </w:pPr>
    <w:rPr>
      <w:rFonts w:ascii="Aptos" w:hAnsi="Aptos"/>
      <w:i/>
      <w:color w:val="2F6F6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