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4112"/>
      </w:tblGrid>
      <w:tr>
        <w:tc>
          <w:tcPr>
            <w:tcW w:type="dxa" w:w="14112"/>
            <w:shd w:fill="18324A"/>
            <w:tcMar>
              <w:top w:w="170" w:type="dxa"/>
              <w:start w:w="180" w:type="dxa"/>
              <w:bottom w:w="160" w:type="dxa"/>
              <w:end w:w="180" w:type="dxa"/>
            </w:tcMar>
          </w:tcPr>
          <w:p>
            <w:pPr>
              <w:jc w:val="left"/>
            </w:pPr>
            <w:r>
              <w:rPr>
                <w:rFonts w:ascii="Aptos Display" w:hAnsi="Aptos Display"/>
                <w:b/>
                <w:color w:val="FFFFFF"/>
                <w:sz w:val="44"/>
              </w:rPr>
              <w:t>Duckworks AI Governance Project — Stakeholder Register</w:t>
            </w:r>
          </w:p>
          <w:p>
            <w:r>
              <w:rPr>
                <w:rFonts w:ascii="Aptos" w:hAnsi="Aptos"/>
                <w:color w:val="DCE8EA"/>
                <w:sz w:val="20"/>
              </w:rPr>
              <w:t>Who influences, owns, operates, challenges, assures, or is affected by Project W.I.N.G.</w:t>
            </w:r>
          </w:p>
        </w:tc>
      </w:tr>
    </w:tbl>
    <w:tbl>
      <w:tblPr>
        <w:tblW w:type="auto" w:w="0"/>
        <w:jc w:val="center"/>
        <w:tblLook w:firstColumn="1" w:firstRow="1" w:lastColumn="0" w:lastRow="0" w:noHBand="0" w:noVBand="1" w:val="04A0"/>
      </w:tblPr>
      <w:tblGrid>
        <w:gridCol w:w="3528"/>
        <w:gridCol w:w="3528"/>
        <w:gridCol w:w="3528"/>
        <w:gridCol w:w="3528"/>
      </w:tblGrid>
      <w:tr>
        <w:tc>
          <w:tcPr>
            <w:tcW w:type="dxa" w:w="3528"/>
            <w:shd w:fill="EAF2F1"/>
            <w:tcMar>
              <w:top w:w="70" w:type="dxa"/>
              <w:start w:w="80" w:type="dxa"/>
              <w:bottom w:w="70" w:type="dxa"/>
              <w:end w:w="80" w:type="dxa"/>
            </w:tcMar>
          </w:tcPr>
          <w:p>
            <w:r/>
            <w:r>
              <w:rPr>
                <w:b/>
                <w:color w:val="5C6670"/>
                <w:sz w:val="15"/>
              </w:rPr>
              <w:t>Document ID</w:t>
              <w:br/>
            </w:r>
            <w:r>
              <w:rPr>
                <w:color w:val="18324A"/>
                <w:sz w:val="18"/>
              </w:rPr>
              <w:t>DW-WING-CHTR-03</w:t>
            </w:r>
          </w:p>
        </w:tc>
        <w:tc>
          <w:tcPr>
            <w:tcW w:type="dxa" w:w="3528"/>
            <w:shd w:fill="EAF2F1"/>
            <w:tcMar>
              <w:top w:w="70" w:type="dxa"/>
              <w:start w:w="80" w:type="dxa"/>
              <w:bottom w:w="70" w:type="dxa"/>
              <w:end w:w="80" w:type="dxa"/>
            </w:tcMar>
          </w:tcPr>
          <w:p>
            <w:r/>
            <w:r>
              <w:rPr>
                <w:b/>
                <w:color w:val="5C6670"/>
                <w:sz w:val="15"/>
              </w:rPr>
              <w:t>Version</w:t>
              <w:br/>
            </w:r>
            <w:r>
              <w:rPr>
                <w:color w:val="18324A"/>
                <w:sz w:val="18"/>
              </w:rPr>
              <w:t>1.0</w:t>
            </w:r>
          </w:p>
        </w:tc>
        <w:tc>
          <w:tcPr>
            <w:tcW w:type="dxa" w:w="3528"/>
            <w:shd w:fill="EAF2F1"/>
            <w:tcMar>
              <w:top w:w="70" w:type="dxa"/>
              <w:start w:w="80" w:type="dxa"/>
              <w:bottom w:w="70" w:type="dxa"/>
              <w:end w:w="80" w:type="dxa"/>
            </w:tcMar>
          </w:tcPr>
          <w:p>
            <w:r/>
            <w:r>
              <w:rPr>
                <w:b/>
                <w:color w:val="5C6670"/>
                <w:sz w:val="15"/>
              </w:rPr>
              <w:t>Status</w:t>
              <w:br/>
            </w:r>
            <w:r>
              <w:rPr>
                <w:color w:val="18324A"/>
                <w:sz w:val="18"/>
              </w:rPr>
              <w:t>Portfolio Baseline</w:t>
            </w:r>
          </w:p>
        </w:tc>
        <w:tc>
          <w:tcPr>
            <w:tcW w:type="dxa" w:w="3528"/>
            <w:shd w:fill="EAF2F1"/>
            <w:tcMar>
              <w:top w:w="70" w:type="dxa"/>
              <w:start w:w="80" w:type="dxa"/>
              <w:bottom w:w="70" w:type="dxa"/>
              <w:end w:w="80" w:type="dxa"/>
            </w:tcMar>
          </w:tcPr>
          <w:p>
            <w:r/>
            <w:r>
              <w:rPr>
                <w:b/>
                <w:color w:val="5C6670"/>
                <w:sz w:val="15"/>
              </w:rPr>
              <w:t>Organization</w:t>
              <w:br/>
            </w:r>
            <w:r>
              <w:rPr>
                <w:color w:val="18324A"/>
                <w:sz w:val="18"/>
              </w:rPr>
              <w:t>Duckworks</w:t>
            </w:r>
          </w:p>
        </w:tc>
      </w:tr>
    </w:tbl>
    <w:p/>
    <w:p>
      <w:pPr>
        <w:pStyle w:val="Heading1"/>
      </w:pPr>
      <w:r>
        <w:t>1. Purpose</w:t>
      </w:r>
    </w:p>
    <w:p>
      <w:pPr>
        <w:spacing w:after="140"/>
      </w:pPr>
      <w:r>
        <w:t>This document identifies the stakeholders required to design, approve, operate, challenge, monitor, and independently assure the Duckworks AI Governance Framework. It also identifies stakeholder groups that may be affected by AI-enabled decisions and therefore require representation in impact and governance activities.</w:t>
      </w:r>
    </w:p>
    <w:p>
      <w:pPr>
        <w:pStyle w:val="Callout"/>
      </w:pPr>
      <w:r>
        <w:t>Duckworks principle: “Every material AI use case should have a named owner, an informed challenger, and a clearly identified population that may be affected.”</w:t>
      </w:r>
    </w:p>
    <w:p>
      <w:pPr>
        <w:pStyle w:val="Heading1"/>
      </w:pPr>
      <w:r>
        <w:t>2. Stakeholder Governance Model</w:t>
      </w:r>
    </w:p>
    <w:p>
      <w:pPr>
        <w:pStyle w:val="ListBullet"/>
        <w:spacing w:after="40"/>
      </w:pPr>
      <w:r>
        <w:rPr>
          <w:b/>
        </w:rPr>
        <w:t xml:space="preserve">Executive sponsorship — </w:t>
      </w:r>
      <w:r>
        <w:t>sets risk appetite, resolves major conflicts, and ensures governance does not become an isolated compliance exercise.</w:t>
      </w:r>
    </w:p>
    <w:p>
      <w:pPr>
        <w:pStyle w:val="ListBullet"/>
        <w:spacing w:after="40"/>
      </w:pPr>
      <w:r>
        <w:rPr>
          <w:b/>
        </w:rPr>
        <w:t xml:space="preserve">First line — </w:t>
      </w:r>
      <w:r>
        <w:t>owns AI use cases, business outcomes, operational controls, and day-to-day system performance.</w:t>
      </w:r>
    </w:p>
    <w:p>
      <w:pPr>
        <w:pStyle w:val="ListBullet"/>
        <w:spacing w:after="40"/>
      </w:pPr>
      <w:r>
        <w:rPr>
          <w:b/>
        </w:rPr>
        <w:t xml:space="preserve">Second line — </w:t>
      </w:r>
      <w:r>
        <w:t>sets policy, provides challenge, performs specialist review, and monitors aggregate AI risk.</w:t>
      </w:r>
    </w:p>
    <w:p>
      <w:pPr>
        <w:pStyle w:val="ListBullet"/>
        <w:spacing w:after="40"/>
      </w:pPr>
      <w:r>
        <w:rPr>
          <w:b/>
        </w:rPr>
        <w:t xml:space="preserve">Third line — </w:t>
      </w:r>
      <w:r>
        <w:t>provides independent assurance without owning the controls it may later audit.</w:t>
      </w:r>
    </w:p>
    <w:p>
      <w:pPr>
        <w:pStyle w:val="ListBullet"/>
        <w:spacing w:after="40"/>
      </w:pPr>
      <w:r>
        <w:rPr>
          <w:b/>
        </w:rPr>
        <w:t xml:space="preserve">Affected stakeholders — </w:t>
      </w:r>
      <w:r>
        <w:t>provide the perspective of people, customers, applicants, product users, and other groups whose interests may be materially affected.</w:t>
      </w:r>
    </w:p>
    <w:p>
      <w:pPr>
        <w:pStyle w:val="Heading1"/>
      </w:pPr>
      <w:r>
        <w:t>3. Core Named Stakeholders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648"/>
            <w:shd w:fill="18324A"/>
            <w:vAlign w:val="center"/>
          </w:tcPr>
          <w:p>
            <w:pPr>
              <w:spacing w:after="0"/>
            </w:pPr>
            <w:r/>
            <w:r>
              <w:rPr>
                <w:rFonts w:ascii="Aptos" w:hAnsi="Aptos"/>
                <w:b/>
                <w:color w:val="FFFFFF"/>
                <w:sz w:val="14"/>
              </w:rPr>
              <w:t>ID</w:t>
            </w:r>
          </w:p>
        </w:tc>
        <w:tc>
          <w:tcPr>
            <w:tcW w:type="dxa" w:w="1512"/>
            <w:shd w:fill="18324A"/>
            <w:vAlign w:val="center"/>
          </w:tcPr>
          <w:p>
            <w:pPr>
              <w:spacing w:after="0"/>
            </w:pPr>
            <w:r/>
            <w:r>
              <w:rPr>
                <w:rFonts w:ascii="Aptos" w:hAnsi="Aptos"/>
                <w:b/>
                <w:color w:val="FFFFFF"/>
                <w:sz w:val="14"/>
              </w:rPr>
              <w:t>Stakeholder</w:t>
            </w:r>
          </w:p>
        </w:tc>
        <w:tc>
          <w:tcPr>
            <w:tcW w:type="dxa" w:w="1656"/>
            <w:shd w:fill="18324A"/>
            <w:vAlign w:val="center"/>
          </w:tcPr>
          <w:p>
            <w:pPr>
              <w:spacing w:after="0"/>
            </w:pPr>
            <w:r/>
            <w:r>
              <w:rPr>
                <w:rFonts w:ascii="Aptos" w:hAnsi="Aptos"/>
                <w:b/>
                <w:color w:val="FFFFFF"/>
                <w:sz w:val="14"/>
              </w:rPr>
              <w:t>Role</w:t>
            </w:r>
          </w:p>
        </w:tc>
        <w:tc>
          <w:tcPr>
            <w:tcW w:type="dxa" w:w="1584"/>
            <w:shd w:fill="18324A"/>
            <w:vAlign w:val="center"/>
          </w:tcPr>
          <w:p>
            <w:pPr>
              <w:spacing w:after="0"/>
            </w:pPr>
            <w:r/>
            <w:r>
              <w:rPr>
                <w:rFonts w:ascii="Aptos" w:hAnsi="Aptos"/>
                <w:b/>
                <w:color w:val="FFFFFF"/>
                <w:sz w:val="14"/>
              </w:rPr>
              <w:t>Governance Role</w:t>
            </w:r>
          </w:p>
        </w:tc>
        <w:tc>
          <w:tcPr>
            <w:tcW w:type="dxa" w:w="3816"/>
            <w:shd w:fill="18324A"/>
            <w:vAlign w:val="center"/>
          </w:tcPr>
          <w:p>
            <w:pPr>
              <w:spacing w:after="0"/>
            </w:pPr>
            <w:r/>
            <w:r>
              <w:rPr>
                <w:rFonts w:ascii="Aptos" w:hAnsi="Aptos"/>
                <w:b/>
                <w:color w:val="FFFFFF"/>
                <w:sz w:val="14"/>
              </w:rPr>
              <w:t>Primary Interest / Accountability</w:t>
            </w:r>
          </w:p>
        </w:tc>
        <w:tc>
          <w:tcPr>
            <w:tcW w:type="dxa" w:w="936"/>
            <w:shd w:fill="18324A"/>
            <w:vAlign w:val="center"/>
          </w:tcPr>
          <w:p>
            <w:pPr>
              <w:spacing w:after="0"/>
            </w:pPr>
            <w:r/>
            <w:r>
              <w:rPr>
                <w:rFonts w:ascii="Aptos" w:hAnsi="Aptos"/>
                <w:b/>
                <w:color w:val="FFFFFF"/>
                <w:sz w:val="14"/>
              </w:rPr>
              <w:t>Influence</w:t>
            </w:r>
          </w:p>
        </w:tc>
        <w:tc>
          <w:tcPr>
            <w:tcW w:type="dxa" w:w="1728"/>
            <w:shd w:fill="18324A"/>
            <w:vAlign w:val="center"/>
          </w:tcPr>
          <w:p>
            <w:pPr>
              <w:spacing w:after="0"/>
            </w:pPr>
            <w:r/>
            <w:r>
              <w:rPr>
                <w:rFonts w:ascii="Aptos" w:hAnsi="Aptos"/>
                <w:b/>
                <w:color w:val="FFFFFF"/>
                <w:sz w:val="14"/>
              </w:rPr>
              <w:t>Engagement</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S-01</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Dr. Mallory Duckworth</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Chief Executive Officer</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Executive Sponsor</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Accountable for Project W.I.N.G.; sets ambition and resolves enterprise-level conflicts.</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Keep closely engaged</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S-02</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Prof. Archibald McDuck</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Chief Technology Officer</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Technology Executive</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Owns enterprise AI technology strategy and engineering enablement.</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Co-design technical gates</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S-03</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Reginald Duckman</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Chief Risk &amp; Compliance Officer</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Governance Sponsor</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Chairs AI Governance Committee; owns policy, risk methodology, and escalation model.</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Primary governance lead</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S-04</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Cassandra Duckley</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Chief Information Security Officer</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Security Challenger</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Owns AI security governance, threat modelling expectations, and security acceptance criteria.</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Mandatory reviewer for material AI</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S-05</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Beatrice Van Duck</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Chief People Officer</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Business Executive / Affected-domain owner</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Owns workforce governance and DuckTalent AI business outcomes; safeguards employment decision integrity.</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Enhanced review for people AI</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S-06</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Amelia Duckett</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General Counsel</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Legal Adviser</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Provides legal interpretation, contractual review, product/legal risk challenge, and escalation advice.</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Mandatory legal triage</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S-07</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Delia Duckham</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Data Protection Officer</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Privacy Adviser</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Provides independent privacy advice and DPIA guidance; monitors personal-data compliance.</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Consult on personal-data AI</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S-08</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Penelope Duckins</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Head of Internal Audit</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Independent Assurance</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Assesses design and operating effectiveness of governance and controls. Observer, not control owner.</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Maintain independence</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S-09</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Dr. Ada Duckfield</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Head of Data &amp; AI</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Technical Owner / SME</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Owns AI/ML engineering standards, model lifecycle practices, technical evidence, and monitoring design.</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Continuous working-level engagement</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S-10</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Felix Duckson</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VP Product &amp; Engineering</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Business Owner — DuckDesign</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Accountable for engineering use cases, product integration, and validation of AI-assisted design.</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System-specific approval</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S-11</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Henrietta Duckwell</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Director of Manufacturing</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Business Owner — WingInspect</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Owns manufacturing quality use case and human inspection fallback.</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Safety/quality review</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S-12</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Tobias Duckman</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Director of Supply Chain</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Business Owner — FeatherForecast</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Owns forecasting use case and operational reliance decisions.</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Medium</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Periodic review</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S-13</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Clara Duckley</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Director of Customer Operations</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Business Owner — QuackBot</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Owns customer-facing chatbot outcomes, escalation paths, and complaint monitoring.</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Release gate stakeholder</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S-14</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Oliver Duckett</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Head of IT &amp; Cloud</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Business/Technical Owner — PondGPT</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Owns enterprise deployment, access model, integrations, and platform operations.</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Security/privacy gate</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S-15</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Percival Duckworth</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Director of Procurement &amp; Vendor Assurance</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Third-Party Governance</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Owns AI supplier due diligence, contract clauses, renewal review, and exit obligations.</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Medium</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Engage before purchase/renewal</w:t>
            </w:r>
          </w:p>
        </w:tc>
      </w:tr>
      <w:tr>
        <w:trPr>
          <w:cantSplit/>
        </w:trPr>
        <w:tc>
          <w:tcPr>
            <w:tcW w:type="dxa" w:w="648"/>
            <w:vAlign w:val="center"/>
            <w:shd w:fill="F6F8FA"/>
            <w:tcMar>
              <w:top w:w="55" w:type="dxa"/>
              <w:start w:w="60" w:type="dxa"/>
              <w:bottom w:w="55" w:type="dxa"/>
              <w:end w:w="60" w:type="dxa"/>
            </w:tcMar>
          </w:tcPr>
          <w:p>
            <w:pPr>
              <w:spacing w:after="0"/>
            </w:pPr>
            <w:r/>
            <w:r>
              <w:rPr>
                <w:rFonts w:ascii="Aptos" w:hAnsi="Aptos"/>
                <w:b w:val="0"/>
                <w:color w:val="18324A"/>
                <w:sz w:val="14"/>
              </w:rPr>
              <w:t>S-16</w:t>
            </w:r>
          </w:p>
        </w:tc>
        <w:tc>
          <w:tcPr>
            <w:tcW w:type="dxa" w:w="1512"/>
            <w:vAlign w:val="center"/>
            <w:shd w:fill="F6F8FA"/>
            <w:tcMar>
              <w:top w:w="55" w:type="dxa"/>
              <w:start w:w="60" w:type="dxa"/>
              <w:bottom w:w="55" w:type="dxa"/>
              <w:end w:w="60" w:type="dxa"/>
            </w:tcMar>
          </w:tcPr>
          <w:p>
            <w:pPr>
              <w:spacing w:after="0"/>
            </w:pPr>
            <w:r/>
            <w:r>
              <w:rPr>
                <w:rFonts w:ascii="Aptos" w:hAnsi="Aptos"/>
                <w:b w:val="0"/>
                <w:color w:val="18324A"/>
                <w:sz w:val="14"/>
              </w:rPr>
              <w:t>Quentin Duckwell</w:t>
            </w:r>
          </w:p>
        </w:tc>
        <w:tc>
          <w:tcPr>
            <w:tcW w:type="dxa" w:w="1656"/>
            <w:vAlign w:val="center"/>
            <w:shd w:fill="F6F8FA"/>
            <w:tcMar>
              <w:top w:w="55" w:type="dxa"/>
              <w:start w:w="60" w:type="dxa"/>
              <w:bottom w:w="55" w:type="dxa"/>
              <w:end w:w="60" w:type="dxa"/>
            </w:tcMar>
          </w:tcPr>
          <w:p>
            <w:pPr>
              <w:spacing w:after="0"/>
            </w:pPr>
            <w:r/>
            <w:r>
              <w:rPr>
                <w:rFonts w:ascii="Aptos" w:hAnsi="Aptos"/>
                <w:b w:val="0"/>
                <w:color w:val="18324A"/>
                <w:sz w:val="14"/>
              </w:rPr>
              <w:t>Director of Product Safety &amp; Quality</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4"/>
              </w:rPr>
              <w:t>Product Safety Specialist</w:t>
            </w:r>
          </w:p>
        </w:tc>
        <w:tc>
          <w:tcPr>
            <w:tcW w:type="dxa" w:w="3816"/>
            <w:vAlign w:val="center"/>
            <w:shd w:fill="F6F8FA"/>
            <w:tcMar>
              <w:top w:w="55" w:type="dxa"/>
              <w:start w:w="60" w:type="dxa"/>
              <w:bottom w:w="55" w:type="dxa"/>
              <w:end w:w="60" w:type="dxa"/>
            </w:tcMar>
          </w:tcPr>
          <w:p>
            <w:pPr>
              <w:spacing w:after="0"/>
            </w:pPr>
            <w:r/>
            <w:r>
              <w:rPr>
                <w:rFonts w:ascii="Aptos" w:hAnsi="Aptos"/>
                <w:b w:val="0"/>
                <w:color w:val="18324A"/>
                <w:sz w:val="14"/>
              </w:rPr>
              <w:t>Challenges AI use where product quality, reliability, or safety may be affected.</w:t>
            </w:r>
          </w:p>
        </w:tc>
        <w:tc>
          <w:tcPr>
            <w:tcW w:type="dxa" w:w="936"/>
            <w:vAlign w:val="center"/>
            <w:shd w:fill="F6F8FA"/>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4"/>
              </w:rPr>
              <w:t>Mandatory for product-impacting AI</w:t>
            </w:r>
          </w:p>
        </w:tc>
      </w:tr>
      <w:tr>
        <w:trPr>
          <w:cantSplit/>
        </w:trPr>
        <w:tc>
          <w:tcPr>
            <w:tcW w:type="dxa" w:w="648"/>
            <w:vAlign w:val="center"/>
            <w:tcMar>
              <w:top w:w="55" w:type="dxa"/>
              <w:start w:w="60" w:type="dxa"/>
              <w:bottom w:w="55" w:type="dxa"/>
              <w:end w:w="60" w:type="dxa"/>
            </w:tcMar>
          </w:tcPr>
          <w:p>
            <w:pPr>
              <w:spacing w:after="0"/>
            </w:pPr>
            <w:r/>
            <w:r>
              <w:rPr>
                <w:rFonts w:ascii="Aptos" w:hAnsi="Aptos"/>
                <w:b w:val="0"/>
                <w:color w:val="18324A"/>
                <w:sz w:val="14"/>
              </w:rPr>
              <w:t>S-17</w:t>
            </w:r>
          </w:p>
        </w:tc>
        <w:tc>
          <w:tcPr>
            <w:tcW w:type="dxa" w:w="1512"/>
            <w:vAlign w:val="center"/>
            <w:tcMar>
              <w:top w:w="55" w:type="dxa"/>
              <w:start w:w="60" w:type="dxa"/>
              <w:bottom w:w="55" w:type="dxa"/>
              <w:end w:w="60" w:type="dxa"/>
            </w:tcMar>
          </w:tcPr>
          <w:p>
            <w:pPr>
              <w:spacing w:after="0"/>
            </w:pPr>
            <w:r/>
            <w:r>
              <w:rPr>
                <w:rFonts w:ascii="Aptos" w:hAnsi="Aptos"/>
                <w:b w:val="0"/>
                <w:color w:val="18324A"/>
                <w:sz w:val="14"/>
              </w:rPr>
              <w:t>Eleanor Duckford</w:t>
            </w:r>
          </w:p>
        </w:tc>
        <w:tc>
          <w:tcPr>
            <w:tcW w:type="dxa" w:w="1656"/>
            <w:vAlign w:val="center"/>
            <w:tcMar>
              <w:top w:w="55" w:type="dxa"/>
              <w:start w:w="60" w:type="dxa"/>
              <w:bottom w:w="55" w:type="dxa"/>
              <w:end w:w="60" w:type="dxa"/>
            </w:tcMar>
          </w:tcPr>
          <w:p>
            <w:pPr>
              <w:spacing w:after="0"/>
            </w:pPr>
            <w:r/>
            <w:r>
              <w:rPr>
                <w:rFonts w:ascii="Aptos" w:hAnsi="Aptos"/>
                <w:b w:val="0"/>
                <w:color w:val="18324A"/>
                <w:sz w:val="14"/>
              </w:rPr>
              <w:t>AI Governance Lead</w:t>
            </w:r>
          </w:p>
        </w:tc>
        <w:tc>
          <w:tcPr>
            <w:tcW w:type="dxa" w:w="1584"/>
            <w:vAlign w:val="center"/>
            <w:tcMar>
              <w:top w:w="55" w:type="dxa"/>
              <w:start w:w="60" w:type="dxa"/>
              <w:bottom w:w="55" w:type="dxa"/>
              <w:end w:w="60" w:type="dxa"/>
            </w:tcMar>
          </w:tcPr>
          <w:p>
            <w:pPr>
              <w:spacing w:after="0"/>
            </w:pPr>
            <w:r/>
            <w:r>
              <w:rPr>
                <w:rFonts w:ascii="Aptos" w:hAnsi="Aptos"/>
                <w:b w:val="0"/>
                <w:color w:val="18324A"/>
                <w:sz w:val="14"/>
              </w:rPr>
              <w:t>Program / Framework Owner</w:t>
            </w:r>
          </w:p>
        </w:tc>
        <w:tc>
          <w:tcPr>
            <w:tcW w:type="dxa" w:w="3816"/>
            <w:vAlign w:val="center"/>
            <w:tcMar>
              <w:top w:w="55" w:type="dxa"/>
              <w:start w:w="60" w:type="dxa"/>
              <w:bottom w:w="55" w:type="dxa"/>
              <w:end w:w="60" w:type="dxa"/>
            </w:tcMar>
          </w:tcPr>
          <w:p>
            <w:pPr>
              <w:spacing w:after="0"/>
            </w:pPr>
            <w:r/>
            <w:r>
              <w:rPr>
                <w:rFonts w:ascii="Aptos" w:hAnsi="Aptos"/>
                <w:b w:val="0"/>
                <w:color w:val="18324A"/>
                <w:sz w:val="14"/>
              </w:rPr>
              <w:t>Maintains QuackTrack inventory, coordinates assessments, committee packs, evidence, and reporting.</w:t>
            </w:r>
          </w:p>
        </w:tc>
        <w:tc>
          <w:tcPr>
            <w:tcW w:type="dxa" w:w="936"/>
            <w:vAlign w:val="center"/>
            <w:tcMar>
              <w:top w:w="55" w:type="dxa"/>
              <w:start w:w="60" w:type="dxa"/>
              <w:bottom w:w="55" w:type="dxa"/>
              <w:end w:w="60" w:type="dxa"/>
            </w:tcMar>
          </w:tcPr>
          <w:p>
            <w:pPr>
              <w:spacing w:after="0"/>
            </w:pPr>
            <w:r/>
            <w:r>
              <w:rPr>
                <w:rFonts w:ascii="Aptos" w:hAnsi="Aptos"/>
                <w:b w:val="0"/>
                <w:color w:val="18324A"/>
                <w:sz w:val="14"/>
              </w:rPr>
              <w:t>High</w:t>
            </w:r>
          </w:p>
        </w:tc>
        <w:tc>
          <w:tcPr>
            <w:tcW w:type="dxa" w:w="1728"/>
            <w:vAlign w:val="center"/>
            <w:tcMar>
              <w:top w:w="55" w:type="dxa"/>
              <w:start w:w="60" w:type="dxa"/>
              <w:bottom w:w="55" w:type="dxa"/>
              <w:end w:w="60" w:type="dxa"/>
            </w:tcMar>
          </w:tcPr>
          <w:p>
            <w:pPr>
              <w:spacing w:after="0"/>
            </w:pPr>
            <w:r/>
            <w:r>
              <w:rPr>
                <w:rFonts w:ascii="Aptos" w:hAnsi="Aptos"/>
                <w:b w:val="0"/>
                <w:color w:val="18324A"/>
                <w:sz w:val="14"/>
              </w:rPr>
              <w:t>Day-to-day program owner</w:t>
            </w:r>
          </w:p>
        </w:tc>
      </w:tr>
    </w:tbl>
    <w:p/>
    <w:p>
      <w:pPr>
        <w:pStyle w:val="Heading1"/>
      </w:pPr>
      <w:r>
        <w:t>4. Affected and Representative Stakeholders</w:t>
      </w:r>
    </w:p>
    <w:tbl>
      <w:tblPr>
        <w:tblStyle w:val="TableGrid"/>
        <w:tblW w:type="auto" w:w="0"/>
        <w:jc w:val="center"/>
        <w:tblLayout w:type="autofit"/>
        <w:tblLook w:firstColumn="1" w:firstRow="1" w:lastColumn="0" w:lastRow="0" w:noHBand="0" w:noVBand="1" w:val="04A0"/>
      </w:tblPr>
      <w:tblGrid>
        <w:gridCol w:w="2352"/>
        <w:gridCol w:w="2352"/>
        <w:gridCol w:w="2352"/>
        <w:gridCol w:w="2352"/>
        <w:gridCol w:w="2352"/>
        <w:gridCol w:w="2352"/>
      </w:tblGrid>
      <w:tr>
        <w:trPr>
          <w:tblHeader w:val="true"/>
        </w:trPr>
        <w:tc>
          <w:tcPr>
            <w:tcW w:type="dxa" w:w="720"/>
            <w:shd w:fill="18324A"/>
            <w:vAlign w:val="center"/>
          </w:tcPr>
          <w:p>
            <w:pPr>
              <w:spacing w:after="0"/>
            </w:pPr>
            <w:r/>
            <w:r>
              <w:rPr>
                <w:rFonts w:ascii="Aptos" w:hAnsi="Aptos"/>
                <w:b/>
                <w:color w:val="FFFFFF"/>
                <w:sz w:val="15"/>
              </w:rPr>
              <w:t>ID</w:t>
            </w:r>
          </w:p>
        </w:tc>
        <w:tc>
          <w:tcPr>
            <w:tcW w:type="dxa" w:w="1872"/>
            <w:shd w:fill="18324A"/>
            <w:vAlign w:val="center"/>
          </w:tcPr>
          <w:p>
            <w:pPr>
              <w:spacing w:after="0"/>
            </w:pPr>
            <w:r/>
            <w:r>
              <w:rPr>
                <w:rFonts w:ascii="Aptos" w:hAnsi="Aptos"/>
                <w:b/>
                <w:color w:val="FFFFFF"/>
                <w:sz w:val="15"/>
              </w:rPr>
              <w:t>Stakeholder Group</w:t>
            </w:r>
          </w:p>
        </w:tc>
        <w:tc>
          <w:tcPr>
            <w:tcW w:type="dxa" w:w="1584"/>
            <w:shd w:fill="18324A"/>
            <w:vAlign w:val="center"/>
          </w:tcPr>
          <w:p>
            <w:pPr>
              <w:spacing w:after="0"/>
            </w:pPr>
            <w:r/>
            <w:r>
              <w:rPr>
                <w:rFonts w:ascii="Aptos" w:hAnsi="Aptos"/>
                <w:b/>
                <w:color w:val="FFFFFF"/>
                <w:sz w:val="15"/>
              </w:rPr>
              <w:t>Type</w:t>
            </w:r>
          </w:p>
        </w:tc>
        <w:tc>
          <w:tcPr>
            <w:tcW w:type="dxa" w:w="4032"/>
            <w:shd w:fill="18324A"/>
            <w:vAlign w:val="center"/>
          </w:tcPr>
          <w:p>
            <w:pPr>
              <w:spacing w:after="0"/>
            </w:pPr>
            <w:r/>
            <w:r>
              <w:rPr>
                <w:rFonts w:ascii="Aptos" w:hAnsi="Aptos"/>
                <w:b/>
                <w:color w:val="FFFFFF"/>
                <w:sz w:val="15"/>
              </w:rPr>
              <w:t>Key Interests</w:t>
            </w:r>
          </w:p>
        </w:tc>
        <w:tc>
          <w:tcPr>
            <w:tcW w:type="dxa" w:w="2016"/>
            <w:shd w:fill="18324A"/>
            <w:vAlign w:val="center"/>
          </w:tcPr>
          <w:p>
            <w:pPr>
              <w:spacing w:after="0"/>
            </w:pPr>
            <w:r/>
            <w:r>
              <w:rPr>
                <w:rFonts w:ascii="Aptos" w:hAnsi="Aptos"/>
                <w:b/>
                <w:color w:val="FFFFFF"/>
                <w:sz w:val="15"/>
              </w:rPr>
              <w:t>Relevant Systems</w:t>
            </w:r>
          </w:p>
        </w:tc>
        <w:tc>
          <w:tcPr>
            <w:tcW w:type="dxa" w:w="1728"/>
            <w:shd w:fill="18324A"/>
            <w:vAlign w:val="center"/>
          </w:tcPr>
          <w:p>
            <w:pPr>
              <w:spacing w:after="0"/>
            </w:pPr>
            <w:r/>
            <w:r>
              <w:rPr>
                <w:rFonts w:ascii="Aptos" w:hAnsi="Aptos"/>
                <w:b/>
                <w:color w:val="FFFFFF"/>
                <w:sz w:val="15"/>
              </w:rPr>
              <w:t>Engagement</w:t>
            </w:r>
          </w:p>
        </w:tc>
      </w:tr>
      <w:tr>
        <w:trPr>
          <w:cantSplit/>
        </w:trPr>
        <w:tc>
          <w:tcPr>
            <w:tcW w:type="dxa" w:w="720"/>
            <w:vAlign w:val="center"/>
            <w:tcMar>
              <w:top w:w="55" w:type="dxa"/>
              <w:start w:w="60" w:type="dxa"/>
              <w:bottom w:w="55" w:type="dxa"/>
              <w:end w:w="60" w:type="dxa"/>
            </w:tcMar>
          </w:tcPr>
          <w:p>
            <w:pPr>
              <w:spacing w:after="0"/>
            </w:pPr>
            <w:r/>
            <w:r>
              <w:rPr>
                <w:rFonts w:ascii="Aptos" w:hAnsi="Aptos"/>
                <w:b w:val="0"/>
                <w:color w:val="18324A"/>
                <w:sz w:val="15"/>
              </w:rPr>
              <w:t>A-01</w:t>
            </w:r>
          </w:p>
        </w:tc>
        <w:tc>
          <w:tcPr>
            <w:tcW w:type="dxa" w:w="1872"/>
            <w:vAlign w:val="center"/>
            <w:tcMar>
              <w:top w:w="55" w:type="dxa"/>
              <w:start w:w="60" w:type="dxa"/>
              <w:bottom w:w="55" w:type="dxa"/>
              <w:end w:w="60" w:type="dxa"/>
            </w:tcMar>
          </w:tcPr>
          <w:p>
            <w:pPr>
              <w:spacing w:after="0"/>
            </w:pPr>
            <w:r/>
            <w:r>
              <w:rPr>
                <w:rFonts w:ascii="Aptos" w:hAnsi="Aptos"/>
                <w:b w:val="0"/>
                <w:color w:val="18324A"/>
                <w:sz w:val="15"/>
              </w:rPr>
              <w:t>Duckworks employees</w:t>
            </w:r>
          </w:p>
        </w:tc>
        <w:tc>
          <w:tcPr>
            <w:tcW w:type="dxa" w:w="1584"/>
            <w:vAlign w:val="center"/>
            <w:tcMar>
              <w:top w:w="55" w:type="dxa"/>
              <w:start w:w="60" w:type="dxa"/>
              <w:bottom w:w="55" w:type="dxa"/>
              <w:end w:w="60" w:type="dxa"/>
            </w:tcMar>
          </w:tcPr>
          <w:p>
            <w:pPr>
              <w:spacing w:after="0"/>
            </w:pPr>
            <w:r/>
            <w:r>
              <w:rPr>
                <w:rFonts w:ascii="Aptos" w:hAnsi="Aptos"/>
                <w:b w:val="0"/>
                <w:color w:val="18324A"/>
                <w:sz w:val="15"/>
              </w:rPr>
              <w:t>Users / affected workforce</w:t>
            </w:r>
          </w:p>
        </w:tc>
        <w:tc>
          <w:tcPr>
            <w:tcW w:type="dxa" w:w="4032"/>
            <w:vAlign w:val="center"/>
            <w:tcMar>
              <w:top w:w="55" w:type="dxa"/>
              <w:start w:w="60" w:type="dxa"/>
              <w:bottom w:w="55" w:type="dxa"/>
              <w:end w:w="60" w:type="dxa"/>
            </w:tcMar>
          </w:tcPr>
          <w:p>
            <w:pPr>
              <w:spacing w:after="0"/>
            </w:pPr>
            <w:r/>
            <w:r>
              <w:rPr>
                <w:rFonts w:ascii="Aptos" w:hAnsi="Aptos"/>
                <w:b w:val="0"/>
                <w:color w:val="18324A"/>
                <w:sz w:val="15"/>
              </w:rPr>
              <w:t>Productivity, surveillance concerns, data handling, workload, explainability, escalation.</w:t>
            </w:r>
          </w:p>
        </w:tc>
        <w:tc>
          <w:tcPr>
            <w:tcW w:type="dxa" w:w="2016"/>
            <w:vAlign w:val="center"/>
            <w:tcMar>
              <w:top w:w="55" w:type="dxa"/>
              <w:start w:w="60" w:type="dxa"/>
              <w:bottom w:w="55" w:type="dxa"/>
              <w:end w:w="60" w:type="dxa"/>
            </w:tcMar>
          </w:tcPr>
          <w:p>
            <w:pPr>
              <w:spacing w:after="0"/>
            </w:pPr>
            <w:r/>
            <w:r>
              <w:rPr>
                <w:rFonts w:ascii="Aptos" w:hAnsi="Aptos"/>
                <w:b w:val="0"/>
                <w:color w:val="18324A"/>
                <w:sz w:val="15"/>
              </w:rPr>
              <w:t>PondGPT; shadow AI; some operational AI</w:t>
            </w:r>
          </w:p>
        </w:tc>
        <w:tc>
          <w:tcPr>
            <w:tcW w:type="dxa" w:w="1728"/>
            <w:vAlign w:val="center"/>
            <w:tcMar>
              <w:top w:w="55" w:type="dxa"/>
              <w:start w:w="60" w:type="dxa"/>
              <w:bottom w:w="55" w:type="dxa"/>
              <w:end w:w="60" w:type="dxa"/>
            </w:tcMar>
          </w:tcPr>
          <w:p>
            <w:pPr>
              <w:spacing w:after="0"/>
            </w:pPr>
            <w:r/>
            <w:r>
              <w:rPr>
                <w:rFonts w:ascii="Aptos" w:hAnsi="Aptos"/>
                <w:b w:val="0"/>
                <w:color w:val="18324A"/>
                <w:sz w:val="15"/>
              </w:rPr>
              <w:t>Consult + train</w:t>
            </w:r>
          </w:p>
        </w:tc>
      </w:tr>
      <w:tr>
        <w:trPr>
          <w:cantSplit/>
        </w:trPr>
        <w:tc>
          <w:tcPr>
            <w:tcW w:type="dxa" w:w="720"/>
            <w:vAlign w:val="center"/>
            <w:shd w:fill="F6F8FA"/>
            <w:tcMar>
              <w:top w:w="55" w:type="dxa"/>
              <w:start w:w="60" w:type="dxa"/>
              <w:bottom w:w="55" w:type="dxa"/>
              <w:end w:w="60" w:type="dxa"/>
            </w:tcMar>
          </w:tcPr>
          <w:p>
            <w:pPr>
              <w:spacing w:after="0"/>
            </w:pPr>
            <w:r/>
            <w:r>
              <w:rPr>
                <w:rFonts w:ascii="Aptos" w:hAnsi="Aptos"/>
                <w:b w:val="0"/>
                <w:color w:val="18324A"/>
                <w:sz w:val="15"/>
              </w:rPr>
              <w:t>A-02</w:t>
            </w:r>
          </w:p>
        </w:tc>
        <w:tc>
          <w:tcPr>
            <w:tcW w:type="dxa" w:w="1872"/>
            <w:vAlign w:val="center"/>
            <w:shd w:fill="F6F8FA"/>
            <w:tcMar>
              <w:top w:w="55" w:type="dxa"/>
              <w:start w:w="60" w:type="dxa"/>
              <w:bottom w:w="55" w:type="dxa"/>
              <w:end w:w="60" w:type="dxa"/>
            </w:tcMar>
          </w:tcPr>
          <w:p>
            <w:pPr>
              <w:spacing w:after="0"/>
            </w:pPr>
            <w:r/>
            <w:r>
              <w:rPr>
                <w:rFonts w:ascii="Aptos" w:hAnsi="Aptos"/>
                <w:b w:val="0"/>
                <w:color w:val="18324A"/>
                <w:sz w:val="15"/>
              </w:rPr>
              <w:t>Job applicants — “Future Ducklings”</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5"/>
              </w:rPr>
              <w:t>External affected individuals</w:t>
            </w:r>
          </w:p>
        </w:tc>
        <w:tc>
          <w:tcPr>
            <w:tcW w:type="dxa" w:w="4032"/>
            <w:vAlign w:val="center"/>
            <w:shd w:fill="F6F8FA"/>
            <w:tcMar>
              <w:top w:w="55" w:type="dxa"/>
              <w:start w:w="60" w:type="dxa"/>
              <w:bottom w:w="55" w:type="dxa"/>
              <w:end w:w="60" w:type="dxa"/>
            </w:tcMar>
          </w:tcPr>
          <w:p>
            <w:pPr>
              <w:spacing w:after="0"/>
            </w:pPr>
            <w:r/>
            <w:r>
              <w:rPr>
                <w:rFonts w:ascii="Aptos" w:hAnsi="Aptos"/>
                <w:b w:val="0"/>
                <w:color w:val="18324A"/>
                <w:sz w:val="15"/>
              </w:rPr>
              <w:t>Fair treatment, transparency, accessibility, privacy, contestability, human review.</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5"/>
              </w:rPr>
              <w:t>DuckTalent AI</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5"/>
              </w:rPr>
              <w:t>Enhanced impact assessment</w:t>
            </w:r>
          </w:p>
        </w:tc>
      </w:tr>
      <w:tr>
        <w:trPr>
          <w:cantSplit/>
        </w:trPr>
        <w:tc>
          <w:tcPr>
            <w:tcW w:type="dxa" w:w="720"/>
            <w:vAlign w:val="center"/>
            <w:tcMar>
              <w:top w:w="55" w:type="dxa"/>
              <w:start w:w="60" w:type="dxa"/>
              <w:bottom w:w="55" w:type="dxa"/>
              <w:end w:w="60" w:type="dxa"/>
            </w:tcMar>
          </w:tcPr>
          <w:p>
            <w:pPr>
              <w:spacing w:after="0"/>
            </w:pPr>
            <w:r/>
            <w:r>
              <w:rPr>
                <w:rFonts w:ascii="Aptos" w:hAnsi="Aptos"/>
                <w:b w:val="0"/>
                <w:color w:val="18324A"/>
                <w:sz w:val="15"/>
              </w:rPr>
              <w:t>A-03</w:t>
            </w:r>
          </w:p>
        </w:tc>
        <w:tc>
          <w:tcPr>
            <w:tcW w:type="dxa" w:w="1872"/>
            <w:vAlign w:val="center"/>
            <w:tcMar>
              <w:top w:w="55" w:type="dxa"/>
              <w:start w:w="60" w:type="dxa"/>
              <w:bottom w:w="55" w:type="dxa"/>
              <w:end w:w="60" w:type="dxa"/>
            </w:tcMar>
          </w:tcPr>
          <w:p>
            <w:pPr>
              <w:spacing w:after="0"/>
            </w:pPr>
            <w:r/>
            <w:r>
              <w:rPr>
                <w:rFonts w:ascii="Aptos" w:hAnsi="Aptos"/>
                <w:b w:val="0"/>
                <w:color w:val="18324A"/>
                <w:sz w:val="15"/>
              </w:rPr>
              <w:t>Customers and product users</w:t>
            </w:r>
          </w:p>
        </w:tc>
        <w:tc>
          <w:tcPr>
            <w:tcW w:type="dxa" w:w="1584"/>
            <w:vAlign w:val="center"/>
            <w:tcMar>
              <w:top w:w="55" w:type="dxa"/>
              <w:start w:w="60" w:type="dxa"/>
              <w:bottom w:w="55" w:type="dxa"/>
              <w:end w:w="60" w:type="dxa"/>
            </w:tcMar>
          </w:tcPr>
          <w:p>
            <w:pPr>
              <w:spacing w:after="0"/>
            </w:pPr>
            <w:r/>
            <w:r>
              <w:rPr>
                <w:rFonts w:ascii="Aptos" w:hAnsi="Aptos"/>
                <w:b w:val="0"/>
                <w:color w:val="18324A"/>
                <w:sz w:val="15"/>
              </w:rPr>
              <w:t>External users / purchasers</w:t>
            </w:r>
          </w:p>
        </w:tc>
        <w:tc>
          <w:tcPr>
            <w:tcW w:type="dxa" w:w="4032"/>
            <w:vAlign w:val="center"/>
            <w:tcMar>
              <w:top w:w="55" w:type="dxa"/>
              <w:start w:w="60" w:type="dxa"/>
              <w:bottom w:w="55" w:type="dxa"/>
              <w:end w:w="60" w:type="dxa"/>
            </w:tcMar>
          </w:tcPr>
          <w:p>
            <w:pPr>
              <w:spacing w:after="0"/>
            </w:pPr>
            <w:r/>
            <w:r>
              <w:rPr>
                <w:rFonts w:ascii="Aptos" w:hAnsi="Aptos"/>
                <w:b w:val="0"/>
                <w:color w:val="18324A"/>
                <w:sz w:val="15"/>
              </w:rPr>
              <w:t>Accurate support, safety, privacy, complaint handling, clear AI disclosure where appropriate.</w:t>
            </w:r>
          </w:p>
        </w:tc>
        <w:tc>
          <w:tcPr>
            <w:tcW w:type="dxa" w:w="2016"/>
            <w:vAlign w:val="center"/>
            <w:tcMar>
              <w:top w:w="55" w:type="dxa"/>
              <w:start w:w="60" w:type="dxa"/>
              <w:bottom w:w="55" w:type="dxa"/>
              <w:end w:w="60" w:type="dxa"/>
            </w:tcMar>
          </w:tcPr>
          <w:p>
            <w:pPr>
              <w:spacing w:after="0"/>
            </w:pPr>
            <w:r/>
            <w:r>
              <w:rPr>
                <w:rFonts w:ascii="Aptos" w:hAnsi="Aptos"/>
                <w:b w:val="0"/>
                <w:color w:val="18324A"/>
                <w:sz w:val="15"/>
              </w:rPr>
              <w:t>QuackBot; product-integrated AI</w:t>
            </w:r>
          </w:p>
        </w:tc>
        <w:tc>
          <w:tcPr>
            <w:tcW w:type="dxa" w:w="1728"/>
            <w:vAlign w:val="center"/>
            <w:tcMar>
              <w:top w:w="55" w:type="dxa"/>
              <w:start w:w="60" w:type="dxa"/>
              <w:bottom w:w="55" w:type="dxa"/>
              <w:end w:w="60" w:type="dxa"/>
            </w:tcMar>
          </w:tcPr>
          <w:p>
            <w:pPr>
              <w:spacing w:after="0"/>
            </w:pPr>
            <w:r/>
            <w:r>
              <w:rPr>
                <w:rFonts w:ascii="Aptos" w:hAnsi="Aptos"/>
                <w:b w:val="0"/>
                <w:color w:val="18324A"/>
                <w:sz w:val="15"/>
              </w:rPr>
              <w:t>Monitor complaints + feedback</w:t>
            </w:r>
          </w:p>
        </w:tc>
      </w:tr>
      <w:tr>
        <w:trPr>
          <w:cantSplit/>
        </w:trPr>
        <w:tc>
          <w:tcPr>
            <w:tcW w:type="dxa" w:w="720"/>
            <w:vAlign w:val="center"/>
            <w:shd w:fill="F6F8FA"/>
            <w:tcMar>
              <w:top w:w="55" w:type="dxa"/>
              <w:start w:w="60" w:type="dxa"/>
              <w:bottom w:w="55" w:type="dxa"/>
              <w:end w:w="60" w:type="dxa"/>
            </w:tcMar>
          </w:tcPr>
          <w:p>
            <w:pPr>
              <w:spacing w:after="0"/>
            </w:pPr>
            <w:r/>
            <w:r>
              <w:rPr>
                <w:rFonts w:ascii="Aptos" w:hAnsi="Aptos"/>
                <w:b w:val="0"/>
                <w:color w:val="18324A"/>
                <w:sz w:val="15"/>
              </w:rPr>
              <w:t>A-04</w:t>
            </w:r>
          </w:p>
        </w:tc>
        <w:tc>
          <w:tcPr>
            <w:tcW w:type="dxa" w:w="1872"/>
            <w:vAlign w:val="center"/>
            <w:shd w:fill="F6F8FA"/>
            <w:tcMar>
              <w:top w:w="55" w:type="dxa"/>
              <w:start w:w="60" w:type="dxa"/>
              <w:bottom w:w="55" w:type="dxa"/>
              <w:end w:w="60" w:type="dxa"/>
            </w:tcMar>
          </w:tcPr>
          <w:p>
            <w:pPr>
              <w:spacing w:after="0"/>
            </w:pPr>
            <w:r/>
            <w:r>
              <w:rPr>
                <w:rFonts w:ascii="Aptos" w:hAnsi="Aptos"/>
                <w:b w:val="0"/>
                <w:color w:val="18324A"/>
                <w:sz w:val="15"/>
              </w:rPr>
              <w:t>Manufacturing inspectors</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5"/>
              </w:rPr>
              <w:t>Operational users</w:t>
            </w:r>
          </w:p>
        </w:tc>
        <w:tc>
          <w:tcPr>
            <w:tcW w:type="dxa" w:w="4032"/>
            <w:vAlign w:val="center"/>
            <w:shd w:fill="F6F8FA"/>
            <w:tcMar>
              <w:top w:w="55" w:type="dxa"/>
              <w:start w:w="60" w:type="dxa"/>
              <w:bottom w:w="55" w:type="dxa"/>
              <w:end w:w="60" w:type="dxa"/>
            </w:tcMar>
          </w:tcPr>
          <w:p>
            <w:pPr>
              <w:spacing w:after="0"/>
            </w:pPr>
            <w:r/>
            <w:r>
              <w:rPr>
                <w:rFonts w:ascii="Aptos" w:hAnsi="Aptos"/>
                <w:b w:val="0"/>
                <w:color w:val="18324A"/>
                <w:sz w:val="15"/>
              </w:rPr>
              <w:t>False positives/negatives, override authority, workload, competency, safe fallback.</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5"/>
              </w:rPr>
              <w:t>WingInspect Vision</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5"/>
              </w:rPr>
              <w:t>User testing + override monitoring</w:t>
            </w:r>
          </w:p>
        </w:tc>
      </w:tr>
      <w:tr>
        <w:trPr>
          <w:cantSplit/>
        </w:trPr>
        <w:tc>
          <w:tcPr>
            <w:tcW w:type="dxa" w:w="720"/>
            <w:vAlign w:val="center"/>
            <w:tcMar>
              <w:top w:w="55" w:type="dxa"/>
              <w:start w:w="60" w:type="dxa"/>
              <w:bottom w:w="55" w:type="dxa"/>
              <w:end w:w="60" w:type="dxa"/>
            </w:tcMar>
          </w:tcPr>
          <w:p>
            <w:pPr>
              <w:spacing w:after="0"/>
            </w:pPr>
            <w:r/>
            <w:r>
              <w:rPr>
                <w:rFonts w:ascii="Aptos" w:hAnsi="Aptos"/>
                <w:b w:val="0"/>
                <w:color w:val="18324A"/>
                <w:sz w:val="15"/>
              </w:rPr>
              <w:t>A-05</w:t>
            </w:r>
          </w:p>
        </w:tc>
        <w:tc>
          <w:tcPr>
            <w:tcW w:type="dxa" w:w="1872"/>
            <w:vAlign w:val="center"/>
            <w:tcMar>
              <w:top w:w="55" w:type="dxa"/>
              <w:start w:w="60" w:type="dxa"/>
              <w:bottom w:w="55" w:type="dxa"/>
              <w:end w:w="60" w:type="dxa"/>
            </w:tcMar>
          </w:tcPr>
          <w:p>
            <w:pPr>
              <w:spacing w:after="0"/>
            </w:pPr>
            <w:r/>
            <w:r>
              <w:rPr>
                <w:rFonts w:ascii="Aptos" w:hAnsi="Aptos"/>
                <w:b w:val="0"/>
                <w:color w:val="18324A"/>
                <w:sz w:val="15"/>
              </w:rPr>
              <w:t>Mechanical engineers</w:t>
            </w:r>
          </w:p>
        </w:tc>
        <w:tc>
          <w:tcPr>
            <w:tcW w:type="dxa" w:w="1584"/>
            <w:vAlign w:val="center"/>
            <w:tcMar>
              <w:top w:w="55" w:type="dxa"/>
              <w:start w:w="60" w:type="dxa"/>
              <w:bottom w:w="55" w:type="dxa"/>
              <w:end w:w="60" w:type="dxa"/>
            </w:tcMar>
          </w:tcPr>
          <w:p>
            <w:pPr>
              <w:spacing w:after="0"/>
            </w:pPr>
            <w:r/>
            <w:r>
              <w:rPr>
                <w:rFonts w:ascii="Aptos" w:hAnsi="Aptos"/>
                <w:b w:val="0"/>
                <w:color w:val="18324A"/>
                <w:sz w:val="15"/>
              </w:rPr>
              <w:t>Professional users</w:t>
            </w:r>
          </w:p>
        </w:tc>
        <w:tc>
          <w:tcPr>
            <w:tcW w:type="dxa" w:w="4032"/>
            <w:vAlign w:val="center"/>
            <w:tcMar>
              <w:top w:w="55" w:type="dxa"/>
              <w:start w:w="60" w:type="dxa"/>
              <w:bottom w:w="55" w:type="dxa"/>
              <w:end w:w="60" w:type="dxa"/>
            </w:tcMar>
          </w:tcPr>
          <w:p>
            <w:pPr>
              <w:spacing w:after="0"/>
            </w:pPr>
            <w:r/>
            <w:r>
              <w:rPr>
                <w:rFonts w:ascii="Aptos" w:hAnsi="Aptos"/>
                <w:b w:val="0"/>
                <w:color w:val="18324A"/>
                <w:sz w:val="15"/>
              </w:rPr>
              <w:t>Reliability, traceability, design responsibility, IP protection, unsafe automation reliance.</w:t>
            </w:r>
          </w:p>
        </w:tc>
        <w:tc>
          <w:tcPr>
            <w:tcW w:type="dxa" w:w="2016"/>
            <w:vAlign w:val="center"/>
            <w:tcMar>
              <w:top w:w="55" w:type="dxa"/>
              <w:start w:w="60" w:type="dxa"/>
              <w:bottom w:w="55" w:type="dxa"/>
              <w:end w:w="60" w:type="dxa"/>
            </w:tcMar>
          </w:tcPr>
          <w:p>
            <w:pPr>
              <w:spacing w:after="0"/>
            </w:pPr>
            <w:r/>
            <w:r>
              <w:rPr>
                <w:rFonts w:ascii="Aptos" w:hAnsi="Aptos"/>
                <w:b w:val="0"/>
                <w:color w:val="18324A"/>
                <w:sz w:val="15"/>
              </w:rPr>
              <w:t>DuckDesign AI</w:t>
            </w:r>
          </w:p>
        </w:tc>
        <w:tc>
          <w:tcPr>
            <w:tcW w:type="dxa" w:w="1728"/>
            <w:vAlign w:val="center"/>
            <w:tcMar>
              <w:top w:w="55" w:type="dxa"/>
              <w:start w:w="60" w:type="dxa"/>
              <w:bottom w:w="55" w:type="dxa"/>
              <w:end w:w="60" w:type="dxa"/>
            </w:tcMar>
          </w:tcPr>
          <w:p>
            <w:pPr>
              <w:spacing w:after="0"/>
            </w:pPr>
            <w:r/>
            <w:r>
              <w:rPr>
                <w:rFonts w:ascii="Aptos" w:hAnsi="Aptos"/>
                <w:b w:val="0"/>
                <w:color w:val="18324A"/>
                <w:sz w:val="15"/>
              </w:rPr>
              <w:t>Pilot participation + validation</w:t>
            </w:r>
          </w:p>
        </w:tc>
      </w:tr>
      <w:tr>
        <w:trPr>
          <w:cantSplit/>
        </w:trPr>
        <w:tc>
          <w:tcPr>
            <w:tcW w:type="dxa" w:w="720"/>
            <w:vAlign w:val="center"/>
            <w:shd w:fill="F6F8FA"/>
            <w:tcMar>
              <w:top w:w="55" w:type="dxa"/>
              <w:start w:w="60" w:type="dxa"/>
              <w:bottom w:w="55" w:type="dxa"/>
              <w:end w:w="60" w:type="dxa"/>
            </w:tcMar>
          </w:tcPr>
          <w:p>
            <w:pPr>
              <w:spacing w:after="0"/>
            </w:pPr>
            <w:r/>
            <w:r>
              <w:rPr>
                <w:rFonts w:ascii="Aptos" w:hAnsi="Aptos"/>
                <w:b w:val="0"/>
                <w:color w:val="18324A"/>
                <w:sz w:val="15"/>
              </w:rPr>
              <w:t>A-06</w:t>
            </w:r>
          </w:p>
        </w:tc>
        <w:tc>
          <w:tcPr>
            <w:tcW w:type="dxa" w:w="1872"/>
            <w:vAlign w:val="center"/>
            <w:shd w:fill="F6F8FA"/>
            <w:tcMar>
              <w:top w:w="55" w:type="dxa"/>
              <w:start w:w="60" w:type="dxa"/>
              <w:bottom w:w="55" w:type="dxa"/>
              <w:end w:w="60" w:type="dxa"/>
            </w:tcMar>
          </w:tcPr>
          <w:p>
            <w:pPr>
              <w:spacing w:after="0"/>
            </w:pPr>
            <w:r/>
            <w:r>
              <w:rPr>
                <w:rFonts w:ascii="Aptos" w:hAnsi="Aptos"/>
                <w:b w:val="0"/>
                <w:color w:val="18324A"/>
                <w:sz w:val="15"/>
              </w:rPr>
              <w:t>Suppliers and logistics partners</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5"/>
              </w:rPr>
              <w:t>Business partners</w:t>
            </w:r>
          </w:p>
        </w:tc>
        <w:tc>
          <w:tcPr>
            <w:tcW w:type="dxa" w:w="4032"/>
            <w:vAlign w:val="center"/>
            <w:shd w:fill="F6F8FA"/>
            <w:tcMar>
              <w:top w:w="55" w:type="dxa"/>
              <w:start w:w="60" w:type="dxa"/>
              <w:bottom w:w="55" w:type="dxa"/>
              <w:end w:w="60" w:type="dxa"/>
            </w:tcMar>
          </w:tcPr>
          <w:p>
            <w:pPr>
              <w:spacing w:after="0"/>
            </w:pPr>
            <w:r/>
            <w:r>
              <w:rPr>
                <w:rFonts w:ascii="Aptos" w:hAnsi="Aptos"/>
                <w:b w:val="0"/>
                <w:color w:val="18324A"/>
                <w:sz w:val="15"/>
              </w:rPr>
              <w:t>Data confidentiality, forecast dependency, contractual expectations, downstream disruption.</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5"/>
              </w:rPr>
              <w:t>FeatherForecast</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5"/>
              </w:rPr>
              <w:t>Inform where material</w:t>
            </w:r>
          </w:p>
        </w:tc>
      </w:tr>
      <w:tr>
        <w:trPr>
          <w:cantSplit/>
        </w:trPr>
        <w:tc>
          <w:tcPr>
            <w:tcW w:type="dxa" w:w="720"/>
            <w:vAlign w:val="center"/>
            <w:tcMar>
              <w:top w:w="55" w:type="dxa"/>
              <w:start w:w="60" w:type="dxa"/>
              <w:bottom w:w="55" w:type="dxa"/>
              <w:end w:w="60" w:type="dxa"/>
            </w:tcMar>
          </w:tcPr>
          <w:p>
            <w:pPr>
              <w:spacing w:after="0"/>
            </w:pPr>
            <w:r/>
            <w:r>
              <w:rPr>
                <w:rFonts w:ascii="Aptos" w:hAnsi="Aptos"/>
                <w:b w:val="0"/>
                <w:color w:val="18324A"/>
                <w:sz w:val="15"/>
              </w:rPr>
              <w:t>A-07</w:t>
            </w:r>
          </w:p>
        </w:tc>
        <w:tc>
          <w:tcPr>
            <w:tcW w:type="dxa" w:w="1872"/>
            <w:vAlign w:val="center"/>
            <w:tcMar>
              <w:top w:w="55" w:type="dxa"/>
              <w:start w:w="60" w:type="dxa"/>
              <w:bottom w:w="55" w:type="dxa"/>
              <w:end w:w="60" w:type="dxa"/>
            </w:tcMar>
          </w:tcPr>
          <w:p>
            <w:pPr>
              <w:spacing w:after="0"/>
            </w:pPr>
            <w:r/>
            <w:r>
              <w:rPr>
                <w:rFonts w:ascii="Aptos" w:hAnsi="Aptos"/>
                <w:b w:val="0"/>
                <w:color w:val="18324A"/>
                <w:sz w:val="15"/>
              </w:rPr>
              <w:t>Feathered Workforce Council</w:t>
            </w:r>
          </w:p>
        </w:tc>
        <w:tc>
          <w:tcPr>
            <w:tcW w:type="dxa" w:w="1584"/>
            <w:vAlign w:val="center"/>
            <w:tcMar>
              <w:top w:w="55" w:type="dxa"/>
              <w:start w:w="60" w:type="dxa"/>
              <w:bottom w:w="55" w:type="dxa"/>
              <w:end w:w="60" w:type="dxa"/>
            </w:tcMar>
          </w:tcPr>
          <w:p>
            <w:pPr>
              <w:spacing w:after="0"/>
            </w:pPr>
            <w:r/>
            <w:r>
              <w:rPr>
                <w:rFonts w:ascii="Aptos" w:hAnsi="Aptos"/>
                <w:b w:val="0"/>
                <w:color w:val="18324A"/>
                <w:sz w:val="15"/>
              </w:rPr>
              <w:t>Employee representative body</w:t>
            </w:r>
          </w:p>
        </w:tc>
        <w:tc>
          <w:tcPr>
            <w:tcW w:type="dxa" w:w="4032"/>
            <w:vAlign w:val="center"/>
            <w:tcMar>
              <w:top w:w="55" w:type="dxa"/>
              <w:start w:w="60" w:type="dxa"/>
              <w:bottom w:w="55" w:type="dxa"/>
              <w:end w:w="60" w:type="dxa"/>
            </w:tcMar>
          </w:tcPr>
          <w:p>
            <w:pPr>
              <w:spacing w:after="0"/>
            </w:pPr>
            <w:r/>
            <w:r>
              <w:rPr>
                <w:rFonts w:ascii="Aptos" w:hAnsi="Aptos"/>
                <w:b w:val="0"/>
                <w:color w:val="18324A"/>
                <w:sz w:val="15"/>
              </w:rPr>
              <w:t>Fairness, transparency, workplace effects, significant process changes, training.</w:t>
            </w:r>
          </w:p>
        </w:tc>
        <w:tc>
          <w:tcPr>
            <w:tcW w:type="dxa" w:w="2016"/>
            <w:vAlign w:val="center"/>
            <w:tcMar>
              <w:top w:w="55" w:type="dxa"/>
              <w:start w:w="60" w:type="dxa"/>
              <w:bottom w:w="55" w:type="dxa"/>
              <w:end w:w="60" w:type="dxa"/>
            </w:tcMar>
          </w:tcPr>
          <w:p>
            <w:pPr>
              <w:spacing w:after="0"/>
            </w:pPr>
            <w:r/>
            <w:r>
              <w:rPr>
                <w:rFonts w:ascii="Aptos" w:hAnsi="Aptos"/>
                <w:b w:val="0"/>
                <w:color w:val="18324A"/>
                <w:sz w:val="15"/>
              </w:rPr>
              <w:t>DuckTalent; PondGPT; workforce AI</w:t>
            </w:r>
          </w:p>
        </w:tc>
        <w:tc>
          <w:tcPr>
            <w:tcW w:type="dxa" w:w="1728"/>
            <w:vAlign w:val="center"/>
            <w:tcMar>
              <w:top w:w="55" w:type="dxa"/>
              <w:start w:w="60" w:type="dxa"/>
              <w:bottom w:w="55" w:type="dxa"/>
              <w:end w:w="60" w:type="dxa"/>
            </w:tcMar>
          </w:tcPr>
          <w:p>
            <w:pPr>
              <w:spacing w:after="0"/>
            </w:pPr>
            <w:r/>
            <w:r>
              <w:rPr>
                <w:rFonts w:ascii="Aptos" w:hAnsi="Aptos"/>
                <w:b w:val="0"/>
                <w:color w:val="18324A"/>
                <w:sz w:val="15"/>
              </w:rPr>
              <w:t>Consult as applicable</w:t>
            </w:r>
          </w:p>
        </w:tc>
      </w:tr>
      <w:tr>
        <w:trPr>
          <w:cantSplit/>
        </w:trPr>
        <w:tc>
          <w:tcPr>
            <w:tcW w:type="dxa" w:w="720"/>
            <w:vAlign w:val="center"/>
            <w:shd w:fill="F6F8FA"/>
            <w:tcMar>
              <w:top w:w="55" w:type="dxa"/>
              <w:start w:w="60" w:type="dxa"/>
              <w:bottom w:w="55" w:type="dxa"/>
              <w:end w:w="60" w:type="dxa"/>
            </w:tcMar>
          </w:tcPr>
          <w:p>
            <w:pPr>
              <w:spacing w:after="0"/>
            </w:pPr>
            <w:r/>
            <w:r>
              <w:rPr>
                <w:rFonts w:ascii="Aptos" w:hAnsi="Aptos"/>
                <w:b w:val="0"/>
                <w:color w:val="18324A"/>
                <w:sz w:val="15"/>
              </w:rPr>
              <w:t>A-08</w:t>
            </w:r>
          </w:p>
        </w:tc>
        <w:tc>
          <w:tcPr>
            <w:tcW w:type="dxa" w:w="1872"/>
            <w:vAlign w:val="center"/>
            <w:shd w:fill="F6F8FA"/>
            <w:tcMar>
              <w:top w:w="55" w:type="dxa"/>
              <w:start w:w="60" w:type="dxa"/>
              <w:bottom w:w="55" w:type="dxa"/>
              <w:end w:w="60" w:type="dxa"/>
            </w:tcMar>
          </w:tcPr>
          <w:p>
            <w:pPr>
              <w:spacing w:after="0"/>
            </w:pPr>
            <w:r/>
            <w:r>
              <w:rPr>
                <w:rFonts w:ascii="Aptos" w:hAnsi="Aptos"/>
                <w:b w:val="0"/>
                <w:color w:val="18324A"/>
                <w:sz w:val="15"/>
              </w:rPr>
              <w:t>Board Audit &amp; Risk Committee</w:t>
            </w:r>
          </w:p>
        </w:tc>
        <w:tc>
          <w:tcPr>
            <w:tcW w:type="dxa" w:w="1584"/>
            <w:vAlign w:val="center"/>
            <w:shd w:fill="F6F8FA"/>
            <w:tcMar>
              <w:top w:w="55" w:type="dxa"/>
              <w:start w:w="60" w:type="dxa"/>
              <w:bottom w:w="55" w:type="dxa"/>
              <w:end w:w="60" w:type="dxa"/>
            </w:tcMar>
          </w:tcPr>
          <w:p>
            <w:pPr>
              <w:spacing w:after="0"/>
            </w:pPr>
            <w:r/>
            <w:r>
              <w:rPr>
                <w:rFonts w:ascii="Aptos" w:hAnsi="Aptos"/>
                <w:b w:val="0"/>
                <w:color w:val="18324A"/>
                <w:sz w:val="15"/>
              </w:rPr>
              <w:t>Oversight body</w:t>
            </w:r>
          </w:p>
        </w:tc>
        <w:tc>
          <w:tcPr>
            <w:tcW w:type="dxa" w:w="4032"/>
            <w:vAlign w:val="center"/>
            <w:shd w:fill="F6F8FA"/>
            <w:tcMar>
              <w:top w:w="55" w:type="dxa"/>
              <w:start w:w="60" w:type="dxa"/>
              <w:bottom w:w="55" w:type="dxa"/>
              <w:end w:w="60" w:type="dxa"/>
            </w:tcMar>
          </w:tcPr>
          <w:p>
            <w:pPr>
              <w:spacing w:after="0"/>
            </w:pPr>
            <w:r/>
            <w:r>
              <w:rPr>
                <w:rFonts w:ascii="Aptos" w:hAnsi="Aptos"/>
                <w:b w:val="0"/>
                <w:color w:val="18324A"/>
                <w:sz w:val="15"/>
              </w:rPr>
              <w:t>Critical risks, exceptions, regulatory exposure, major incidents, overdue remediation.</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5"/>
              </w:rPr>
              <w:t>Portfolio-wide</w:t>
            </w:r>
          </w:p>
        </w:tc>
        <w:tc>
          <w:tcPr>
            <w:tcW w:type="dxa" w:w="1728"/>
            <w:vAlign w:val="center"/>
            <w:shd w:fill="F6F8FA"/>
            <w:tcMar>
              <w:top w:w="55" w:type="dxa"/>
              <w:start w:w="60" w:type="dxa"/>
              <w:bottom w:w="55" w:type="dxa"/>
              <w:end w:w="60" w:type="dxa"/>
            </w:tcMar>
          </w:tcPr>
          <w:p>
            <w:pPr>
              <w:spacing w:after="0"/>
            </w:pPr>
            <w:r/>
            <w:r>
              <w:rPr>
                <w:rFonts w:ascii="Aptos" w:hAnsi="Aptos"/>
                <w:b w:val="0"/>
                <w:color w:val="18324A"/>
                <w:sz w:val="15"/>
              </w:rPr>
              <w:t>Quarterly / event-driven</w:t>
            </w:r>
          </w:p>
        </w:tc>
      </w:tr>
    </w:tbl>
    <w:p/>
    <w:p>
      <w:pPr>
        <w:pStyle w:val="Heading1"/>
      </w:pPr>
      <w:r>
        <w:t>5. Stakeholder Engagement Cadence</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rPr>
          <w:tblHeader w:val="true"/>
        </w:trPr>
        <w:tc>
          <w:tcPr>
            <w:tcW w:type="dxa" w:w="2592"/>
            <w:shd w:fill="18324A"/>
            <w:vAlign w:val="center"/>
          </w:tcPr>
          <w:p>
            <w:pPr>
              <w:spacing w:after="0"/>
            </w:pPr>
            <w:r/>
            <w:r>
              <w:rPr>
                <w:rFonts w:ascii="Aptos" w:hAnsi="Aptos"/>
                <w:b/>
                <w:color w:val="FFFFFF"/>
                <w:sz w:val="16"/>
              </w:rPr>
              <w:t>Forum / Mechanism</w:t>
            </w:r>
          </w:p>
        </w:tc>
        <w:tc>
          <w:tcPr>
            <w:tcW w:type="dxa" w:w="1800"/>
            <w:shd w:fill="18324A"/>
            <w:vAlign w:val="center"/>
          </w:tcPr>
          <w:p>
            <w:pPr>
              <w:spacing w:after="0"/>
            </w:pPr>
            <w:r/>
            <w:r>
              <w:rPr>
                <w:rFonts w:ascii="Aptos" w:hAnsi="Aptos"/>
                <w:b/>
                <w:color w:val="FFFFFF"/>
                <w:sz w:val="16"/>
              </w:rPr>
              <w:t>Cadence</w:t>
            </w:r>
          </w:p>
        </w:tc>
        <w:tc>
          <w:tcPr>
            <w:tcW w:type="dxa" w:w="2016"/>
            <w:shd w:fill="18324A"/>
            <w:vAlign w:val="center"/>
          </w:tcPr>
          <w:p>
            <w:pPr>
              <w:spacing w:after="0"/>
            </w:pPr>
            <w:r/>
            <w:r>
              <w:rPr>
                <w:rFonts w:ascii="Aptos" w:hAnsi="Aptos"/>
                <w:b/>
                <w:color w:val="FFFFFF"/>
                <w:sz w:val="16"/>
              </w:rPr>
              <w:t>Coordinator</w:t>
            </w:r>
          </w:p>
        </w:tc>
        <w:tc>
          <w:tcPr>
            <w:tcW w:type="dxa" w:w="5472"/>
            <w:shd w:fill="18324A"/>
            <w:vAlign w:val="center"/>
          </w:tcPr>
          <w:p>
            <w:pPr>
              <w:spacing w:after="0"/>
            </w:pPr>
            <w:r/>
            <w:r>
              <w:rPr>
                <w:rFonts w:ascii="Aptos" w:hAnsi="Aptos"/>
                <w:b/>
                <w:color w:val="FFFFFF"/>
                <w:sz w:val="16"/>
              </w:rPr>
              <w:t>Purpose</w:t>
            </w:r>
          </w:p>
        </w:tc>
      </w:tr>
      <w:tr>
        <w:trPr>
          <w:cantSplit/>
        </w:trPr>
        <w:tc>
          <w:tcPr>
            <w:tcW w:type="dxa" w:w="2592"/>
            <w:vAlign w:val="center"/>
            <w:tcMar>
              <w:top w:w="55" w:type="dxa"/>
              <w:start w:w="60" w:type="dxa"/>
              <w:bottom w:w="55" w:type="dxa"/>
              <w:end w:w="60" w:type="dxa"/>
            </w:tcMar>
          </w:tcPr>
          <w:p>
            <w:pPr>
              <w:spacing w:after="0"/>
            </w:pPr>
            <w:r/>
            <w:r>
              <w:rPr>
                <w:rFonts w:ascii="Aptos" w:hAnsi="Aptos"/>
                <w:b w:val="0"/>
                <w:color w:val="18324A"/>
                <w:sz w:val="16"/>
              </w:rPr>
              <w:t>AI Governance Committee</w:t>
            </w:r>
          </w:p>
        </w:tc>
        <w:tc>
          <w:tcPr>
            <w:tcW w:type="dxa" w:w="1800"/>
            <w:vAlign w:val="center"/>
            <w:tcMar>
              <w:top w:w="55" w:type="dxa"/>
              <w:start w:w="60" w:type="dxa"/>
              <w:bottom w:w="55" w:type="dxa"/>
              <w:end w:w="60" w:type="dxa"/>
            </w:tcMar>
          </w:tcPr>
          <w:p>
            <w:pPr>
              <w:spacing w:after="0"/>
            </w:pPr>
            <w:r/>
            <w:r>
              <w:rPr>
                <w:rFonts w:ascii="Aptos" w:hAnsi="Aptos"/>
                <w:b w:val="0"/>
                <w:color w:val="18324A"/>
                <w:sz w:val="16"/>
              </w:rPr>
              <w:t>Monthly; ad hoc for critical decisions</w:t>
            </w:r>
          </w:p>
        </w:tc>
        <w:tc>
          <w:tcPr>
            <w:tcW w:type="dxa" w:w="2016"/>
            <w:vAlign w:val="center"/>
            <w:tcMar>
              <w:top w:w="55" w:type="dxa"/>
              <w:start w:w="60" w:type="dxa"/>
              <w:bottom w:w="55" w:type="dxa"/>
              <w:end w:w="60" w:type="dxa"/>
            </w:tcMar>
          </w:tcPr>
          <w:p>
            <w:pPr>
              <w:spacing w:after="0"/>
            </w:pPr>
            <w:r/>
            <w:r>
              <w:rPr>
                <w:rFonts w:ascii="Aptos" w:hAnsi="Aptos"/>
                <w:b w:val="0"/>
                <w:color w:val="18324A"/>
                <w:sz w:val="16"/>
              </w:rPr>
              <w:t>Reginald Duckman</w:t>
            </w:r>
          </w:p>
        </w:tc>
        <w:tc>
          <w:tcPr>
            <w:tcW w:type="dxa" w:w="5472"/>
            <w:vAlign w:val="center"/>
            <w:tcMar>
              <w:top w:w="55" w:type="dxa"/>
              <w:start w:w="60" w:type="dxa"/>
              <w:bottom w:w="55" w:type="dxa"/>
              <w:end w:w="60" w:type="dxa"/>
            </w:tcMar>
          </w:tcPr>
          <w:p>
            <w:pPr>
              <w:spacing w:after="0"/>
            </w:pPr>
            <w:r/>
            <w:r>
              <w:rPr>
                <w:rFonts w:ascii="Aptos" w:hAnsi="Aptos"/>
                <w:b w:val="0"/>
                <w:color w:val="18324A"/>
                <w:sz w:val="16"/>
              </w:rPr>
              <w:t>Portfolio risk, approvals, exceptions, incidents, reassessments</w:t>
            </w:r>
          </w:p>
        </w:tc>
      </w:tr>
      <w:tr>
        <w:trPr>
          <w:cantSplit/>
        </w:trPr>
        <w:tc>
          <w:tcPr>
            <w:tcW w:type="dxa" w:w="2592"/>
            <w:vAlign w:val="center"/>
            <w:shd w:fill="F6F8FA"/>
            <w:tcMar>
              <w:top w:w="55" w:type="dxa"/>
              <w:start w:w="60" w:type="dxa"/>
              <w:bottom w:w="55" w:type="dxa"/>
              <w:end w:w="60" w:type="dxa"/>
            </w:tcMar>
          </w:tcPr>
          <w:p>
            <w:pPr>
              <w:spacing w:after="0"/>
            </w:pPr>
            <w:r/>
            <w:r>
              <w:rPr>
                <w:rFonts w:ascii="Aptos" w:hAnsi="Aptos"/>
                <w:b w:val="0"/>
                <w:color w:val="18324A"/>
                <w:sz w:val="16"/>
              </w:rPr>
              <w:t>Executive Steering / CEO</w:t>
            </w:r>
          </w:p>
        </w:tc>
        <w:tc>
          <w:tcPr>
            <w:tcW w:type="dxa" w:w="1800"/>
            <w:vAlign w:val="center"/>
            <w:shd w:fill="F6F8FA"/>
            <w:tcMar>
              <w:top w:w="55" w:type="dxa"/>
              <w:start w:w="60" w:type="dxa"/>
              <w:bottom w:w="55" w:type="dxa"/>
              <w:end w:w="60" w:type="dxa"/>
            </w:tcMar>
          </w:tcPr>
          <w:p>
            <w:pPr>
              <w:spacing w:after="0"/>
            </w:pPr>
            <w:r/>
            <w:r>
              <w:rPr>
                <w:rFonts w:ascii="Aptos" w:hAnsi="Aptos"/>
                <w:b w:val="0"/>
                <w:color w:val="18324A"/>
                <w:sz w:val="16"/>
              </w:rPr>
              <w:t>Quarterly; event-driven</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6"/>
              </w:rPr>
              <w:t>Eleanor Duckford</w:t>
            </w:r>
          </w:p>
        </w:tc>
        <w:tc>
          <w:tcPr>
            <w:tcW w:type="dxa" w:w="5472"/>
            <w:vAlign w:val="center"/>
            <w:shd w:fill="F6F8FA"/>
            <w:tcMar>
              <w:top w:w="55" w:type="dxa"/>
              <w:start w:w="60" w:type="dxa"/>
              <w:bottom w:w="55" w:type="dxa"/>
              <w:end w:w="60" w:type="dxa"/>
            </w:tcMar>
          </w:tcPr>
          <w:p>
            <w:pPr>
              <w:spacing w:after="0"/>
            </w:pPr>
            <w:r/>
            <w:r>
              <w:rPr>
                <w:rFonts w:ascii="Aptos" w:hAnsi="Aptos"/>
                <w:b w:val="0"/>
                <w:color w:val="18324A"/>
                <w:sz w:val="16"/>
              </w:rPr>
              <w:t>Progress, critical residual risk, blocked systems, business value, major dependencies</w:t>
            </w:r>
          </w:p>
        </w:tc>
      </w:tr>
      <w:tr>
        <w:trPr>
          <w:cantSplit/>
        </w:trPr>
        <w:tc>
          <w:tcPr>
            <w:tcW w:type="dxa" w:w="2592"/>
            <w:vAlign w:val="center"/>
            <w:tcMar>
              <w:top w:w="55" w:type="dxa"/>
              <w:start w:w="60" w:type="dxa"/>
              <w:bottom w:w="55" w:type="dxa"/>
              <w:end w:w="60" w:type="dxa"/>
            </w:tcMar>
          </w:tcPr>
          <w:p>
            <w:pPr>
              <w:spacing w:after="0"/>
            </w:pPr>
            <w:r/>
            <w:r>
              <w:rPr>
                <w:rFonts w:ascii="Aptos" w:hAnsi="Aptos"/>
                <w:b w:val="0"/>
                <w:color w:val="18324A"/>
                <w:sz w:val="16"/>
              </w:rPr>
              <w:t>System Owner Working Sessions</w:t>
            </w:r>
          </w:p>
        </w:tc>
        <w:tc>
          <w:tcPr>
            <w:tcW w:type="dxa" w:w="1800"/>
            <w:vAlign w:val="center"/>
            <w:tcMar>
              <w:top w:w="55" w:type="dxa"/>
              <w:start w:w="60" w:type="dxa"/>
              <w:bottom w:w="55" w:type="dxa"/>
              <w:end w:w="60" w:type="dxa"/>
            </w:tcMar>
          </w:tcPr>
          <w:p>
            <w:pPr>
              <w:spacing w:after="0"/>
            </w:pPr>
            <w:r/>
            <w:r>
              <w:rPr>
                <w:rFonts w:ascii="Aptos" w:hAnsi="Aptos"/>
                <w:b w:val="0"/>
                <w:color w:val="18324A"/>
                <w:sz w:val="16"/>
              </w:rPr>
              <w:t>Per lifecycle gate</w:t>
            </w:r>
          </w:p>
        </w:tc>
        <w:tc>
          <w:tcPr>
            <w:tcW w:type="dxa" w:w="2016"/>
            <w:vAlign w:val="center"/>
            <w:tcMar>
              <w:top w:w="55" w:type="dxa"/>
              <w:start w:w="60" w:type="dxa"/>
              <w:bottom w:w="55" w:type="dxa"/>
              <w:end w:w="60" w:type="dxa"/>
            </w:tcMar>
          </w:tcPr>
          <w:p>
            <w:pPr>
              <w:spacing w:after="0"/>
            </w:pPr>
            <w:r/>
            <w:r>
              <w:rPr>
                <w:rFonts w:ascii="Aptos" w:hAnsi="Aptos"/>
                <w:b w:val="0"/>
                <w:color w:val="18324A"/>
                <w:sz w:val="16"/>
              </w:rPr>
              <w:t>Relevant business owner</w:t>
            </w:r>
          </w:p>
        </w:tc>
        <w:tc>
          <w:tcPr>
            <w:tcW w:type="dxa" w:w="5472"/>
            <w:vAlign w:val="center"/>
            <w:tcMar>
              <w:top w:w="55" w:type="dxa"/>
              <w:start w:w="60" w:type="dxa"/>
              <w:bottom w:w="55" w:type="dxa"/>
              <w:end w:w="60" w:type="dxa"/>
            </w:tcMar>
          </w:tcPr>
          <w:p>
            <w:pPr>
              <w:spacing w:after="0"/>
            </w:pPr>
            <w:r/>
            <w:r>
              <w:rPr>
                <w:rFonts w:ascii="Aptos" w:hAnsi="Aptos"/>
                <w:b w:val="0"/>
                <w:color w:val="18324A"/>
                <w:sz w:val="16"/>
              </w:rPr>
              <w:t>Evidence readiness, control gaps, testing, launch conditions</w:t>
            </w:r>
          </w:p>
        </w:tc>
      </w:tr>
      <w:tr>
        <w:trPr>
          <w:cantSplit/>
        </w:trPr>
        <w:tc>
          <w:tcPr>
            <w:tcW w:type="dxa" w:w="2592"/>
            <w:vAlign w:val="center"/>
            <w:shd w:fill="F6F8FA"/>
            <w:tcMar>
              <w:top w:w="55" w:type="dxa"/>
              <w:start w:w="60" w:type="dxa"/>
              <w:bottom w:w="55" w:type="dxa"/>
              <w:end w:w="60" w:type="dxa"/>
            </w:tcMar>
          </w:tcPr>
          <w:p>
            <w:pPr>
              <w:spacing w:after="0"/>
            </w:pPr>
            <w:r/>
            <w:r>
              <w:rPr>
                <w:rFonts w:ascii="Aptos" w:hAnsi="Aptos"/>
                <w:b w:val="0"/>
                <w:color w:val="18324A"/>
                <w:sz w:val="16"/>
              </w:rPr>
              <w:t>Security / Privacy / Legal Review</w:t>
            </w:r>
          </w:p>
        </w:tc>
        <w:tc>
          <w:tcPr>
            <w:tcW w:type="dxa" w:w="1800"/>
            <w:vAlign w:val="center"/>
            <w:shd w:fill="F6F8FA"/>
            <w:tcMar>
              <w:top w:w="55" w:type="dxa"/>
              <w:start w:w="60" w:type="dxa"/>
              <w:bottom w:w="55" w:type="dxa"/>
              <w:end w:w="60" w:type="dxa"/>
            </w:tcMar>
          </w:tcPr>
          <w:p>
            <w:pPr>
              <w:spacing w:after="0"/>
            </w:pPr>
            <w:r/>
            <w:r>
              <w:rPr>
                <w:rFonts w:ascii="Aptos" w:hAnsi="Aptos"/>
                <w:b w:val="0"/>
                <w:color w:val="18324A"/>
                <w:sz w:val="16"/>
              </w:rPr>
              <w:t>Before material approval or significant change</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6"/>
              </w:rPr>
              <w:t>CISO / DPO / General Counsel</w:t>
            </w:r>
          </w:p>
        </w:tc>
        <w:tc>
          <w:tcPr>
            <w:tcW w:type="dxa" w:w="5472"/>
            <w:vAlign w:val="center"/>
            <w:shd w:fill="F6F8FA"/>
            <w:tcMar>
              <w:top w:w="55" w:type="dxa"/>
              <w:start w:w="60" w:type="dxa"/>
              <w:bottom w:w="55" w:type="dxa"/>
              <w:end w:w="60" w:type="dxa"/>
            </w:tcMar>
          </w:tcPr>
          <w:p>
            <w:pPr>
              <w:spacing w:after="0"/>
            </w:pPr>
            <w:r/>
            <w:r>
              <w:rPr>
                <w:rFonts w:ascii="Aptos" w:hAnsi="Aptos"/>
                <w:b w:val="0"/>
                <w:color w:val="18324A"/>
                <w:sz w:val="16"/>
              </w:rPr>
              <w:t>Specialist impact and control review</w:t>
            </w:r>
          </w:p>
        </w:tc>
      </w:tr>
      <w:tr>
        <w:trPr>
          <w:cantSplit/>
        </w:trPr>
        <w:tc>
          <w:tcPr>
            <w:tcW w:type="dxa" w:w="2592"/>
            <w:vAlign w:val="center"/>
            <w:tcMar>
              <w:top w:w="55" w:type="dxa"/>
              <w:start w:w="60" w:type="dxa"/>
              <w:bottom w:w="55" w:type="dxa"/>
              <w:end w:w="60" w:type="dxa"/>
            </w:tcMar>
          </w:tcPr>
          <w:p>
            <w:pPr>
              <w:spacing w:after="0"/>
            </w:pPr>
            <w:r/>
            <w:r>
              <w:rPr>
                <w:rFonts w:ascii="Aptos" w:hAnsi="Aptos"/>
                <w:b w:val="0"/>
                <w:color w:val="18324A"/>
                <w:sz w:val="16"/>
              </w:rPr>
              <w:t>Internal Audit</w:t>
            </w:r>
          </w:p>
        </w:tc>
        <w:tc>
          <w:tcPr>
            <w:tcW w:type="dxa" w:w="1800"/>
            <w:vAlign w:val="center"/>
            <w:tcMar>
              <w:top w:w="55" w:type="dxa"/>
              <w:start w:w="60" w:type="dxa"/>
              <w:bottom w:w="55" w:type="dxa"/>
              <w:end w:w="60" w:type="dxa"/>
            </w:tcMar>
          </w:tcPr>
          <w:p>
            <w:pPr>
              <w:spacing w:after="0"/>
            </w:pPr>
            <w:r/>
            <w:r>
              <w:rPr>
                <w:rFonts w:ascii="Aptos" w:hAnsi="Aptos"/>
                <w:b w:val="0"/>
                <w:color w:val="18324A"/>
                <w:sz w:val="16"/>
              </w:rPr>
              <w:t>Risk-based annual plan</w:t>
            </w:r>
          </w:p>
        </w:tc>
        <w:tc>
          <w:tcPr>
            <w:tcW w:type="dxa" w:w="2016"/>
            <w:vAlign w:val="center"/>
            <w:tcMar>
              <w:top w:w="55" w:type="dxa"/>
              <w:start w:w="60" w:type="dxa"/>
              <w:bottom w:w="55" w:type="dxa"/>
              <w:end w:w="60" w:type="dxa"/>
            </w:tcMar>
          </w:tcPr>
          <w:p>
            <w:pPr>
              <w:spacing w:after="0"/>
            </w:pPr>
            <w:r/>
            <w:r>
              <w:rPr>
                <w:rFonts w:ascii="Aptos" w:hAnsi="Aptos"/>
                <w:b w:val="0"/>
                <w:color w:val="18324A"/>
                <w:sz w:val="16"/>
              </w:rPr>
              <w:t>Penelope Duckins</w:t>
            </w:r>
          </w:p>
        </w:tc>
        <w:tc>
          <w:tcPr>
            <w:tcW w:type="dxa" w:w="5472"/>
            <w:vAlign w:val="center"/>
            <w:tcMar>
              <w:top w:w="55" w:type="dxa"/>
              <w:start w:w="60" w:type="dxa"/>
              <w:bottom w:w="55" w:type="dxa"/>
              <w:end w:w="60" w:type="dxa"/>
            </w:tcMar>
          </w:tcPr>
          <w:p>
            <w:pPr>
              <w:spacing w:after="0"/>
            </w:pPr>
            <w:r/>
            <w:r>
              <w:rPr>
                <w:rFonts w:ascii="Aptos" w:hAnsi="Aptos"/>
                <w:b w:val="0"/>
                <w:color w:val="18324A"/>
                <w:sz w:val="16"/>
              </w:rPr>
              <w:t>Independent assurance; no operational ownership</w:t>
            </w:r>
          </w:p>
        </w:tc>
      </w:tr>
      <w:tr>
        <w:trPr>
          <w:cantSplit/>
        </w:trPr>
        <w:tc>
          <w:tcPr>
            <w:tcW w:type="dxa" w:w="2592"/>
            <w:vAlign w:val="center"/>
            <w:shd w:fill="F6F8FA"/>
            <w:tcMar>
              <w:top w:w="55" w:type="dxa"/>
              <w:start w:w="60" w:type="dxa"/>
              <w:bottom w:w="55" w:type="dxa"/>
              <w:end w:w="60" w:type="dxa"/>
            </w:tcMar>
          </w:tcPr>
          <w:p>
            <w:pPr>
              <w:spacing w:after="0"/>
            </w:pPr>
            <w:r/>
            <w:r>
              <w:rPr>
                <w:rFonts w:ascii="Aptos" w:hAnsi="Aptos"/>
                <w:b w:val="0"/>
                <w:color w:val="18324A"/>
                <w:sz w:val="16"/>
              </w:rPr>
              <w:t>Affected-user feedback</w:t>
            </w:r>
          </w:p>
        </w:tc>
        <w:tc>
          <w:tcPr>
            <w:tcW w:type="dxa" w:w="1800"/>
            <w:vAlign w:val="center"/>
            <w:shd w:fill="F6F8FA"/>
            <w:tcMar>
              <w:top w:w="55" w:type="dxa"/>
              <w:start w:w="60" w:type="dxa"/>
              <w:bottom w:w="55" w:type="dxa"/>
              <w:end w:w="60" w:type="dxa"/>
            </w:tcMar>
          </w:tcPr>
          <w:p>
            <w:pPr>
              <w:spacing w:after="0"/>
            </w:pPr>
            <w:r/>
            <w:r>
              <w:rPr>
                <w:rFonts w:ascii="Aptos" w:hAnsi="Aptos"/>
                <w:b w:val="0"/>
                <w:color w:val="18324A"/>
                <w:sz w:val="16"/>
              </w:rPr>
              <w:t>Pilot and post-deployment</w:t>
            </w:r>
          </w:p>
        </w:tc>
        <w:tc>
          <w:tcPr>
            <w:tcW w:type="dxa" w:w="2016"/>
            <w:vAlign w:val="center"/>
            <w:shd w:fill="F6F8FA"/>
            <w:tcMar>
              <w:top w:w="55" w:type="dxa"/>
              <w:start w:w="60" w:type="dxa"/>
              <w:bottom w:w="55" w:type="dxa"/>
              <w:end w:w="60" w:type="dxa"/>
            </w:tcMar>
          </w:tcPr>
          <w:p>
            <w:pPr>
              <w:spacing w:after="0"/>
            </w:pPr>
            <w:r/>
            <w:r>
              <w:rPr>
                <w:rFonts w:ascii="Aptos" w:hAnsi="Aptos"/>
                <w:b w:val="0"/>
                <w:color w:val="18324A"/>
                <w:sz w:val="16"/>
              </w:rPr>
              <w:t>Business owner</w:t>
            </w:r>
          </w:p>
        </w:tc>
        <w:tc>
          <w:tcPr>
            <w:tcW w:type="dxa" w:w="5472"/>
            <w:vAlign w:val="center"/>
            <w:shd w:fill="F6F8FA"/>
            <w:tcMar>
              <w:top w:w="55" w:type="dxa"/>
              <w:start w:w="60" w:type="dxa"/>
              <w:bottom w:w="55" w:type="dxa"/>
              <w:end w:w="60" w:type="dxa"/>
            </w:tcMar>
          </w:tcPr>
          <w:p>
            <w:pPr>
              <w:spacing w:after="0"/>
            </w:pPr>
            <w:r/>
            <w:r>
              <w:rPr>
                <w:rFonts w:ascii="Aptos" w:hAnsi="Aptos"/>
                <w:b w:val="0"/>
                <w:color w:val="18324A"/>
                <w:sz w:val="16"/>
              </w:rPr>
              <w:t>Usability, harmful outcomes, override burden, complaints, contestability</w:t>
            </w:r>
          </w:p>
        </w:tc>
      </w:tr>
    </w:tbl>
    <w:p/>
    <w:p>
      <w:pPr>
        <w:pStyle w:val="Heading1"/>
      </w:pPr>
      <w:r>
        <w:t>6. Escalation Triggers</w:t>
      </w:r>
    </w:p>
    <w:p>
      <w:pPr>
        <w:pStyle w:val="ListBullet"/>
        <w:spacing w:after="40"/>
      </w:pPr>
      <w:r>
        <w:t>Critical residual risk or proposed risk acceptance outside delegated authority.</w:t>
      </w:r>
    </w:p>
    <w:p>
      <w:pPr>
        <w:pStyle w:val="ListBullet"/>
        <w:spacing w:after="40"/>
      </w:pPr>
      <w:r>
        <w:t>Potential prohibited or high-risk legal classification requiring specialist review.</w:t>
      </w:r>
    </w:p>
    <w:p>
      <w:pPr>
        <w:pStyle w:val="ListBullet"/>
        <w:spacing w:after="40"/>
      </w:pPr>
      <w:r>
        <w:t>Material impact on employment, safety, fundamental rights, or vulnerable individuals.</w:t>
      </w:r>
    </w:p>
    <w:p>
      <w:pPr>
        <w:pStyle w:val="ListBullet"/>
        <w:spacing w:after="40"/>
      </w:pPr>
      <w:r>
        <w:t>Significant AI incident, confidential-data leakage, discriminatory outcome, or loss of human oversight.</w:t>
      </w:r>
    </w:p>
    <w:p>
      <w:pPr>
        <w:pStyle w:val="ListBullet"/>
        <w:spacing w:after="40"/>
      </w:pPr>
      <w:r>
        <w:t>Unregistered production AI use discovered outside the approved intake process.</w:t>
      </w:r>
    </w:p>
    <w:p>
      <w:pPr>
        <w:pStyle w:val="ListBullet"/>
        <w:spacing w:after="40"/>
      </w:pPr>
      <w:r>
        <w:t>Material vendor/model change that invalidates prior evidence or assessment assumptions.</w:t>
      </w:r>
    </w:p>
    <w:p>
      <w:pPr>
        <w:pStyle w:val="Heading1"/>
      </w:pPr>
      <w:r>
        <w:t>Portfolio Disclaimer</w:t>
      </w:r>
    </w:p>
    <w:p>
      <w:pPr>
        <w:pStyle w:val="Callout"/>
      </w:pPr>
      <w:r>
        <w:t>Duckworks, Project W.I.N.G., all personnel, committees, systems, datasets, decisions, and evidence referenced in this document are fictional and were created solely for educational and professional portfolio purposes.</w:t>
      </w:r>
    </w:p>
    <w:sectPr w:rsidR="00FC693F" w:rsidRPr="0006063C" w:rsidSect="00034616">
      <w:headerReference w:type="default" r:id="rId9"/>
      <w:footerReference w:type="default" r:id="rId10"/>
      <w:pgSz w:w="15840" w:h="12240" w:orient="landscape"/>
      <w:pgMar w:top="792" w:right="864" w:bottom="720"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5C6670"/>
        <w:sz w:val="16"/>
      </w:rPr>
      <w:t>DW-WING-CHTR-03  |  Version 1.0  |  Fictional portfolio project</w:t>
    </w:r>
  </w:p>
  <w:p>
    <w:pPr>
      <w:jc w:val="right"/>
    </w:pPr>
    <w:r>
      <w:rPr>
        <w:color w:val="5C667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F6F6D"/>
        <w:sz w:val="16"/>
      </w:rPr>
      <w:t>DUCKWORKS  |  PROJECT W.I.N.G.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8324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6F6D"/>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C667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832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60"/>
      <w:ind w:left="360" w:right="360"/>
    </w:pPr>
    <w:rPr>
      <w:rFonts w:ascii="Aptos" w:hAnsi="Aptos"/>
      <w:i/>
      <w:color w:val="2F6F6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