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500"/>
        <w:jc w:val="center"/>
      </w:pPr>
      <w:r>
        <w:rPr>
          <w:b/>
          <w:color w:val="2A6F6B"/>
          <w:sz w:val="36"/>
        </w:rPr>
        <w:t>DUCKWORKS</w:t>
      </w:r>
    </w:p>
    <w:p>
      <w:pPr>
        <w:jc w:val="center"/>
      </w:pPr>
      <w:r>
        <w:rPr>
          <w:b/>
          <w:color w:val="17324D"/>
          <w:sz w:val="50"/>
        </w:rPr>
        <w:t>AI Governance Regulatory &amp; Framework Research Report</w:t>
      </w:r>
    </w:p>
    <w:p>
      <w:pPr>
        <w:jc w:val="center"/>
      </w:pPr>
      <w:r>
        <w:rPr>
          <w:color w:val="5D6770"/>
          <w:sz w:val="24"/>
        </w:rPr>
        <w:t>Current official requirements and recognized guidance relevant to Project W.I.N.G.</w:t>
      </w:r>
    </w:p>
    <w:p/>
    <w:tbl>
      <w:tblPr>
        <w:tblW w:type="auto" w:w="0"/>
        <w:jc w:val="center"/>
        <w:tblLayout w:type="fixed"/>
        <w:tblLook w:firstColumn="1" w:firstRow="1" w:lastColumn="0" w:lastRow="0" w:noHBand="0" w:noVBand="1" w:val="04A0"/>
      </w:tblPr>
      <w:tblGrid>
        <w:gridCol w:w="4946"/>
        <w:gridCol w:w="4946"/>
      </w:tblGrid>
      <w:tr>
        <w:tc>
          <w:tcPr>
            <w:tcW w:type="dxa" w:w="4946"/>
            <w:tcMar>
              <w:top w:w="80" w:type="dxa"/>
              <w:start w:w="100" w:type="dxa"/>
              <w:bottom w:w="80" w:type="dxa"/>
              <w:end w:w="100" w:type="dxa"/>
            </w:tcMar>
            <w:vAlign w:val="center"/>
            <w:shd w:fill="17324D"/>
          </w:tcPr>
          <w:p>
            <w:pPr>
              <w:spacing w:after="0"/>
            </w:pPr>
            <w:r/>
            <w:r>
              <w:rPr>
                <w:rFonts w:ascii="Aptos" w:hAnsi="Aptos"/>
                <w:b/>
                <w:color w:val="FFFFFF"/>
                <w:sz w:val="18"/>
              </w:rPr>
              <w:t>Organization</w:t>
            </w:r>
          </w:p>
        </w:tc>
        <w:tc>
          <w:tcPr>
            <w:tcW w:type="dxa" w:w="4946"/>
            <w:tcMar>
              <w:top w:w="80" w:type="dxa"/>
              <w:start w:w="100" w:type="dxa"/>
              <w:bottom w:w="80" w:type="dxa"/>
              <w:end w:w="100" w:type="dxa"/>
            </w:tcMar>
            <w:vAlign w:val="center"/>
          </w:tcPr>
          <w:p>
            <w:pPr>
              <w:spacing w:after="0"/>
            </w:pPr>
            <w:r/>
            <w:r>
              <w:rPr>
                <w:rFonts w:ascii="Aptos" w:hAnsi="Aptos"/>
                <w:b w:val="0"/>
                <w:color w:val="222222"/>
                <w:sz w:val="18"/>
              </w:rPr>
              <w:t>Duckworks (fictional)</w:t>
            </w:r>
          </w:p>
        </w:tc>
      </w:tr>
      <w:tr>
        <w:tc>
          <w:tcPr>
            <w:tcW w:type="dxa" w:w="4946"/>
            <w:tcMar>
              <w:top w:w="80" w:type="dxa"/>
              <w:start w:w="100" w:type="dxa"/>
              <w:bottom w:w="80" w:type="dxa"/>
              <w:end w:w="100" w:type="dxa"/>
            </w:tcMar>
            <w:vAlign w:val="center"/>
            <w:shd w:fill="17324D"/>
          </w:tcPr>
          <w:p>
            <w:pPr>
              <w:spacing w:after="0"/>
            </w:pPr>
            <w:r/>
            <w:r>
              <w:rPr>
                <w:rFonts w:ascii="Aptos" w:hAnsi="Aptos"/>
                <w:b/>
                <w:color w:val="FFFFFF"/>
                <w:sz w:val="18"/>
              </w:rPr>
              <w:t>Document ID</w:t>
            </w:r>
          </w:p>
        </w:tc>
        <w:tc>
          <w:tcPr>
            <w:tcW w:type="dxa" w:w="4946"/>
            <w:tcMar>
              <w:top w:w="80" w:type="dxa"/>
              <w:start w:w="100" w:type="dxa"/>
              <w:bottom w:w="80" w:type="dxa"/>
              <w:end w:w="100" w:type="dxa"/>
            </w:tcMar>
            <w:vAlign w:val="center"/>
          </w:tcPr>
          <w:p>
            <w:pPr>
              <w:spacing w:after="0"/>
            </w:pPr>
            <w:r/>
            <w:r>
              <w:rPr>
                <w:rFonts w:ascii="Aptos" w:hAnsi="Aptos"/>
                <w:b w:val="0"/>
                <w:color w:val="222222"/>
                <w:sz w:val="18"/>
              </w:rPr>
              <w:t>DW-WING-REG-01</w:t>
            </w:r>
          </w:p>
        </w:tc>
      </w:tr>
      <w:tr>
        <w:tc>
          <w:tcPr>
            <w:tcW w:type="dxa" w:w="4946"/>
            <w:tcMar>
              <w:top w:w="80" w:type="dxa"/>
              <w:start w:w="100" w:type="dxa"/>
              <w:bottom w:w="80" w:type="dxa"/>
              <w:end w:w="100" w:type="dxa"/>
            </w:tcMar>
            <w:vAlign w:val="center"/>
            <w:shd w:fill="17324D"/>
          </w:tcPr>
          <w:p>
            <w:pPr>
              <w:spacing w:after="0"/>
            </w:pPr>
            <w:r/>
            <w:r>
              <w:rPr>
                <w:rFonts w:ascii="Aptos" w:hAnsi="Aptos"/>
                <w:b/>
                <w:color w:val="FFFFFF"/>
                <w:sz w:val="18"/>
              </w:rPr>
              <w:t>Version</w:t>
            </w:r>
          </w:p>
        </w:tc>
        <w:tc>
          <w:tcPr>
            <w:tcW w:type="dxa" w:w="4946"/>
            <w:tcMar>
              <w:top w:w="80" w:type="dxa"/>
              <w:start w:w="100" w:type="dxa"/>
              <w:bottom w:w="80" w:type="dxa"/>
              <w:end w:w="100" w:type="dxa"/>
            </w:tcMar>
            <w:vAlign w:val="center"/>
          </w:tcPr>
          <w:p>
            <w:pPr>
              <w:spacing w:after="0"/>
            </w:pPr>
            <w:r/>
            <w:r>
              <w:rPr>
                <w:rFonts w:ascii="Aptos" w:hAnsi="Aptos"/>
                <w:b w:val="0"/>
                <w:color w:val="222222"/>
                <w:sz w:val="18"/>
              </w:rPr>
              <w:t>1.0</w:t>
            </w:r>
          </w:p>
        </w:tc>
      </w:tr>
      <w:tr>
        <w:tc>
          <w:tcPr>
            <w:tcW w:type="dxa" w:w="4946"/>
            <w:tcMar>
              <w:top w:w="80" w:type="dxa"/>
              <w:start w:w="100" w:type="dxa"/>
              <w:bottom w:w="80" w:type="dxa"/>
              <w:end w:w="100" w:type="dxa"/>
            </w:tcMar>
            <w:vAlign w:val="center"/>
            <w:shd w:fill="17324D"/>
          </w:tcPr>
          <w:p>
            <w:pPr>
              <w:spacing w:after="0"/>
            </w:pPr>
            <w:r/>
            <w:r>
              <w:rPr>
                <w:rFonts w:ascii="Aptos" w:hAnsi="Aptos"/>
                <w:b/>
                <w:color w:val="FFFFFF"/>
                <w:sz w:val="18"/>
              </w:rPr>
              <w:t>Research date</w:t>
            </w:r>
          </w:p>
        </w:tc>
        <w:tc>
          <w:tcPr>
            <w:tcW w:type="dxa" w:w="4946"/>
            <w:tcMar>
              <w:top w:w="80" w:type="dxa"/>
              <w:start w:w="100" w:type="dxa"/>
              <w:bottom w:w="80" w:type="dxa"/>
              <w:end w:w="100" w:type="dxa"/>
            </w:tcMar>
            <w:vAlign w:val="center"/>
          </w:tcPr>
          <w:p>
            <w:pPr>
              <w:spacing w:after="0"/>
            </w:pPr>
            <w:r/>
            <w:r>
              <w:rPr>
                <w:rFonts w:ascii="Aptos" w:hAnsi="Aptos"/>
                <w:b w:val="0"/>
                <w:color w:val="222222"/>
                <w:sz w:val="18"/>
              </w:rPr>
              <w:t>10 August 2026</w:t>
            </w:r>
          </w:p>
        </w:tc>
      </w:tr>
      <w:tr>
        <w:tc>
          <w:tcPr>
            <w:tcW w:type="dxa" w:w="4946"/>
            <w:tcMar>
              <w:top w:w="80" w:type="dxa"/>
              <w:start w:w="100" w:type="dxa"/>
              <w:bottom w:w="80" w:type="dxa"/>
              <w:end w:w="100" w:type="dxa"/>
            </w:tcMar>
            <w:vAlign w:val="center"/>
            <w:shd w:fill="17324D"/>
          </w:tcPr>
          <w:p>
            <w:pPr>
              <w:spacing w:after="0"/>
            </w:pPr>
            <w:r/>
            <w:r>
              <w:rPr>
                <w:rFonts w:ascii="Aptos" w:hAnsi="Aptos"/>
                <w:b/>
                <w:color w:val="FFFFFF"/>
                <w:sz w:val="18"/>
              </w:rPr>
              <w:t>Evidence basis</w:t>
            </w:r>
          </w:p>
        </w:tc>
        <w:tc>
          <w:tcPr>
            <w:tcW w:type="dxa" w:w="4946"/>
            <w:tcMar>
              <w:top w:w="80" w:type="dxa"/>
              <w:start w:w="100" w:type="dxa"/>
              <w:bottom w:w="80" w:type="dxa"/>
              <w:end w:w="100" w:type="dxa"/>
            </w:tcMar>
            <w:vAlign w:val="center"/>
          </w:tcPr>
          <w:p>
            <w:pPr>
              <w:spacing w:after="0"/>
            </w:pPr>
            <w:r/>
            <w:r>
              <w:rPr>
                <w:rFonts w:ascii="Aptos" w:hAnsi="Aptos"/>
                <w:b w:val="0"/>
                <w:color w:val="222222"/>
                <w:sz w:val="18"/>
              </w:rPr>
              <w:t>Public primary/official sources + Duckworks fictional project baseline</w:t>
            </w:r>
          </w:p>
        </w:tc>
      </w:tr>
      <w:tr>
        <w:tc>
          <w:tcPr>
            <w:tcW w:type="dxa" w:w="4946"/>
            <w:tcMar>
              <w:top w:w="80" w:type="dxa"/>
              <w:start w:w="100" w:type="dxa"/>
              <w:bottom w:w="80" w:type="dxa"/>
              <w:end w:w="100" w:type="dxa"/>
            </w:tcMar>
            <w:vAlign w:val="center"/>
            <w:shd w:fill="17324D"/>
          </w:tcPr>
          <w:p>
            <w:pPr>
              <w:spacing w:after="0"/>
            </w:pPr>
            <w:r/>
            <w:r>
              <w:rPr>
                <w:rFonts w:ascii="Aptos" w:hAnsi="Aptos"/>
                <w:b/>
                <w:color w:val="FFFFFF"/>
                <w:sz w:val="18"/>
              </w:rPr>
              <w:t>Classification</w:t>
            </w:r>
          </w:p>
        </w:tc>
        <w:tc>
          <w:tcPr>
            <w:tcW w:type="dxa" w:w="4946"/>
            <w:tcMar>
              <w:top w:w="80" w:type="dxa"/>
              <w:start w:w="100" w:type="dxa"/>
              <w:bottom w:w="80" w:type="dxa"/>
              <w:end w:w="100" w:type="dxa"/>
            </w:tcMar>
            <w:vAlign w:val="center"/>
          </w:tcPr>
          <w:p>
            <w:pPr>
              <w:spacing w:after="0"/>
            </w:pPr>
            <w:r/>
            <w:r>
              <w:rPr>
                <w:rFonts w:ascii="Aptos" w:hAnsi="Aptos"/>
                <w:b w:val="0"/>
                <w:color w:val="222222"/>
                <w:sz w:val="18"/>
              </w:rPr>
              <w:t>Portfolio / Synthetic / Non-production</w:t>
            </w:r>
          </w:p>
        </w:tc>
      </w:tr>
    </w:tbl>
    <w:p/>
    <w:p>
      <w:pPr>
        <w:jc w:val="center"/>
      </w:pPr>
      <w:r>
        <w:rPr>
          <w:b/>
          <w:color w:val="9B2C2C"/>
        </w:rPr>
        <w:t>Important limitation</w:t>
      </w:r>
    </w:p>
    <w:p>
      <w:pPr>
        <w:jc w:val="center"/>
      </w:pPr>
      <w:r>
        <w:rPr>
          <w:i/>
          <w:sz w:val="18"/>
        </w:rPr>
        <w:t>This portfolio report is a governance and regulatory-screening artifact, not legal advice, certification evidence or a legal compliance determination. Applicability must be validated against actual jurisdiction, legal role, intended purpose, product architecture and national implementing law.</w:t>
      </w:r>
    </w:p>
    <w:p>
      <w:r>
        <w:br w:type="page"/>
      </w:r>
    </w:p>
    <w:p>
      <w:pPr>
        <w:pStyle w:val="Heading1"/>
        <w:keepNext/>
      </w:pPr>
      <w:r>
        <w:t>Executive Summary</w:t>
      </w:r>
    </w:p>
    <w:p>
      <w:r>
        <w:rPr>
          <w:b/>
        </w:rPr>
        <w:t xml:space="preserve">Duckworks baseline. </w:t>
      </w:r>
      <w:r>
        <w:t>Duckworks is a fictional European advanced-manufacturing company with approximately 1,200 staff. Project W.I.N.G. covers DuckDesign AI, QuackBot, FeatherForecast, WingInspect Vision, DuckTalent AI, PondGPT and Unregistered GenAI Usage. The project assumes EU/EEA operations but has not fixed an actual Member State, and it deliberately separates internal enterprise risk ratings from statutory classifications.</w:t>
      </w:r>
    </w:p>
    <w:p>
      <w:r>
        <w:rPr>
          <w:b/>
        </w:rPr>
        <w:t xml:space="preserve">Overall conclusion. </w:t>
      </w:r>
      <w:r>
        <w:t>The strongest current legal priorities are AI literacy, prohibited-practice screening, Article 50 transparency for relevant interactive/generative AI, GDPR/privacy governance, employment non-discrimination, existing machinery/product-safety duties, likely NIS2 scoping, and immediate CRA reporting-readiness analysis. DuckTalent should be treated as a future Annex III high-risk design target. Product-integrated safety AI requires separate Article 6(1) analysis.</w:t>
      </w:r>
    </w:p>
    <w:tbl>
      <w:tblPr>
        <w:tblW w:type="auto" w:w="0"/>
        <w:jc w:val="center"/>
        <w:tblLook w:firstColumn="1" w:firstRow="1" w:lastColumn="0" w:lastRow="0" w:noHBand="0" w:noVBand="1" w:val="04A0"/>
      </w:tblPr>
      <w:tblGrid>
        <w:gridCol w:w="4946"/>
        <w:gridCol w:w="4946"/>
      </w:tblGrid>
      <w:tr>
        <w:tc>
          <w:tcPr>
            <w:tcW w:type="dxa" w:w="4946"/>
            <w:tcMar>
              <w:top w:w="80" w:type="dxa"/>
              <w:start w:w="100" w:type="dxa"/>
              <w:bottom w:w="80" w:type="dxa"/>
              <w:end w:w="100" w:type="dxa"/>
            </w:tcMar>
            <w:vAlign w:val="center"/>
            <w:shd w:fill="2A6F6B"/>
          </w:tcPr>
          <w:p>
            <w:pPr>
              <w:spacing w:after="0"/>
            </w:pPr>
            <w:r/>
            <w:r>
              <w:rPr>
                <w:rFonts w:ascii="Aptos" w:hAnsi="Aptos"/>
                <w:b/>
                <w:color w:val="FFFFFF"/>
                <w:sz w:val="17"/>
              </w:rPr>
              <w:t>Now</w:t>
            </w:r>
          </w:p>
        </w:tc>
        <w:tc>
          <w:tcPr>
            <w:tcW w:type="dxa" w:w="4946"/>
            <w:tcMar>
              <w:top w:w="80" w:type="dxa"/>
              <w:start w:w="100" w:type="dxa"/>
              <w:bottom w:w="80" w:type="dxa"/>
              <w:end w:w="100" w:type="dxa"/>
            </w:tcMar>
            <w:vAlign w:val="center"/>
          </w:tcPr>
          <w:p>
            <w:pPr>
              <w:spacing w:after="0"/>
            </w:pPr>
            <w:r/>
            <w:r>
              <w:rPr>
                <w:rFonts w:ascii="Aptos" w:hAnsi="Aptos"/>
                <w:b w:val="0"/>
                <w:color w:val="222222"/>
                <w:sz w:val="17"/>
              </w:rPr>
              <w:t>AI literacy; Article 50 transparency; GDPR; employment equality; product safety; shadow AI containment; NIS2 applicability; CRA scope.</w:t>
            </w:r>
          </w:p>
        </w:tc>
      </w:tr>
      <w:tr>
        <w:tc>
          <w:tcPr>
            <w:tcW w:type="dxa" w:w="4946"/>
            <w:tcMar>
              <w:top w:w="80" w:type="dxa"/>
              <w:start w:w="100" w:type="dxa"/>
              <w:bottom w:w="80" w:type="dxa"/>
              <w:end w:w="100" w:type="dxa"/>
            </w:tcMar>
            <w:vAlign w:val="center"/>
            <w:shd w:fill="2A6F6B"/>
          </w:tcPr>
          <w:p>
            <w:pPr>
              <w:spacing w:after="0"/>
            </w:pPr>
            <w:r/>
            <w:r>
              <w:rPr>
                <w:rFonts w:ascii="Aptos" w:hAnsi="Aptos"/>
                <w:b/>
                <w:color w:val="FFFFFF"/>
                <w:sz w:val="17"/>
              </w:rPr>
              <w:t>Near-term</w:t>
            </w:r>
          </w:p>
        </w:tc>
        <w:tc>
          <w:tcPr>
            <w:tcW w:type="dxa" w:w="4946"/>
            <w:tcMar>
              <w:top w:w="80" w:type="dxa"/>
              <w:start w:w="100" w:type="dxa"/>
              <w:bottom w:w="80" w:type="dxa"/>
              <w:end w:w="100" w:type="dxa"/>
            </w:tcMar>
            <w:vAlign w:val="center"/>
          </w:tcPr>
          <w:p>
            <w:pPr>
              <w:spacing w:after="0"/>
            </w:pPr>
            <w:r/>
            <w:r>
              <w:rPr>
                <w:rFonts w:ascii="Aptos" w:hAnsi="Aptos"/>
                <w:b w:val="0"/>
                <w:color w:val="222222"/>
                <w:sz w:val="17"/>
              </w:rPr>
              <w:t>CRA Article 14 reporting begins 11 Sep 2026; product liability transition begins Dec 2026; Machinery Regulation transition begins Jan 2027.</w:t>
            </w:r>
          </w:p>
        </w:tc>
      </w:tr>
      <w:tr>
        <w:tc>
          <w:tcPr>
            <w:tcW w:type="dxa" w:w="4946"/>
            <w:tcMar>
              <w:top w:w="80" w:type="dxa"/>
              <w:start w:w="100" w:type="dxa"/>
              <w:bottom w:w="80" w:type="dxa"/>
              <w:end w:w="100" w:type="dxa"/>
            </w:tcMar>
            <w:vAlign w:val="center"/>
            <w:shd w:fill="2A6F6B"/>
          </w:tcPr>
          <w:p>
            <w:pPr>
              <w:spacing w:after="0"/>
            </w:pPr>
            <w:r/>
            <w:r>
              <w:rPr>
                <w:rFonts w:ascii="Aptos" w:hAnsi="Aptos"/>
                <w:b/>
                <w:color w:val="FFFFFF"/>
                <w:sz w:val="17"/>
              </w:rPr>
              <w:t>Future high-risk AI</w:t>
            </w:r>
          </w:p>
        </w:tc>
        <w:tc>
          <w:tcPr>
            <w:tcW w:type="dxa" w:w="4946"/>
            <w:tcMar>
              <w:top w:w="80" w:type="dxa"/>
              <w:start w:w="100" w:type="dxa"/>
              <w:bottom w:w="80" w:type="dxa"/>
              <w:end w:w="100" w:type="dxa"/>
            </w:tcMar>
            <w:vAlign w:val="center"/>
          </w:tcPr>
          <w:p>
            <w:pPr>
              <w:spacing w:after="0"/>
            </w:pPr>
            <w:r/>
            <w:r>
              <w:rPr>
                <w:rFonts w:ascii="Aptos" w:hAnsi="Aptos"/>
                <w:b w:val="0"/>
                <w:color w:val="222222"/>
                <w:sz w:val="17"/>
              </w:rPr>
              <w:t>DuckTalent: Annex III high-risk rules from 2 Dec 2027. Product-route high-risk AI: 2 Aug 2028 if Art. 6(1) conditions are met.</w:t>
            </w:r>
          </w:p>
        </w:tc>
      </w:tr>
      <w:tr>
        <w:tc>
          <w:tcPr>
            <w:tcW w:type="dxa" w:w="4946"/>
            <w:tcMar>
              <w:top w:w="80" w:type="dxa"/>
              <w:start w:w="100" w:type="dxa"/>
              <w:bottom w:w="80" w:type="dxa"/>
              <w:end w:w="100" w:type="dxa"/>
            </w:tcMar>
            <w:vAlign w:val="center"/>
            <w:shd w:fill="2A6F6B"/>
          </w:tcPr>
          <w:p>
            <w:pPr>
              <w:spacing w:after="0"/>
            </w:pPr>
            <w:r/>
            <w:r>
              <w:rPr>
                <w:rFonts w:ascii="Aptos" w:hAnsi="Aptos"/>
                <w:b/>
                <w:color w:val="FFFFFF"/>
                <w:sz w:val="17"/>
              </w:rPr>
              <w:t>Governance architecture</w:t>
            </w:r>
          </w:p>
        </w:tc>
        <w:tc>
          <w:tcPr>
            <w:tcW w:type="dxa" w:w="4946"/>
            <w:tcMar>
              <w:top w:w="80" w:type="dxa"/>
              <w:start w:w="100" w:type="dxa"/>
              <w:bottom w:w="80" w:type="dxa"/>
              <w:end w:w="100" w:type="dxa"/>
            </w:tcMar>
            <w:vAlign w:val="center"/>
          </w:tcPr>
          <w:p>
            <w:pPr>
              <w:spacing w:after="0"/>
            </w:pPr>
            <w:r/>
            <w:r>
              <w:rPr>
                <w:rFonts w:ascii="Aptos" w:hAnsi="Aptos"/>
                <w:b w:val="0"/>
                <w:color w:val="222222"/>
                <w:sz w:val="17"/>
              </w:rPr>
              <w:t>Law = mandatory floor; official regulator guidance = interpretation; ISO/NIST/ENISA = voluntary control architecture; Duckworks internal methodology = proportional governance above the legal floor.</w:t>
            </w:r>
          </w:p>
        </w:tc>
      </w:tr>
    </w:tbl>
    <w:p>
      <w:pPr>
        <w:pStyle w:val="Heading1"/>
        <w:keepNext/>
      </w:pPr>
      <w:r>
        <w:t>1. Research Scope, Evidence Hierarchy and Assumptions</w:t>
      </w:r>
    </w:p>
    <w:p>
      <w:pPr>
        <w:pStyle w:val="Heading2"/>
        <w:keepNext/>
      </w:pPr>
      <w:r>
        <w:t>1.1 Evidence hierarchy</w:t>
      </w:r>
    </w:p>
    <w:p>
      <w:pPr>
        <w:pStyle w:val="ListBullet"/>
      </w:pPr>
      <w:r>
        <w:t>1. Binding legal text: EUR-Lex / Official Journal consolidated legislation where available.</w:t>
      </w:r>
    </w:p>
    <w:p>
      <w:pPr>
        <w:pStyle w:val="ListBullet"/>
      </w:pPr>
      <w:r>
        <w:t>2. Official regulator/competent-authority guidance: European Commission, EDPB and ENISA.</w:t>
      </w:r>
    </w:p>
    <w:p>
      <w:pPr>
        <w:pStyle w:val="ListBullet"/>
      </w:pPr>
      <w:r>
        <w:t>3. Formal standards/frameworks: ISO/IEC and NIST, clearly identified as voluntary unless made binding by contract, policy or another legal mechanism.</w:t>
      </w:r>
    </w:p>
    <w:p>
      <w:pPr>
        <w:pStyle w:val="ListBullet"/>
      </w:pPr>
      <w:r>
        <w:t>4. Recognized technical references: MITRE ATLAS and OWASP GenAI guidance, used for threat/control design rather than legal claims.</w:t>
      </w:r>
    </w:p>
    <w:p>
      <w:pPr>
        <w:pStyle w:val="ListBullet"/>
      </w:pPr>
      <w:r>
        <w:t>5. Duckworks organizational practices and project assumptions: internally binding only if adopted by Duckworks; not external law.</w:t>
      </w:r>
    </w:p>
    <w:p>
      <w:pPr>
        <w:pStyle w:val="Heading2"/>
        <w:keepNext/>
      </w:pPr>
      <w:r>
        <w:t>1.2 Project assumptions that materially affect legal conclusions</w:t>
      </w:r>
    </w:p>
    <w:tbl>
      <w:tblPr>
        <w:tblW w:type="auto" w:w="0"/>
        <w:jc w:val="center"/>
        <w:tblLayout w:type="fixed"/>
        <w:tblLook w:firstColumn="1" w:firstRow="1" w:lastColumn="0" w:lastRow="0" w:noHBand="0" w:noVBand="1" w:val="04A0"/>
      </w:tblPr>
      <w:tblGrid>
        <w:gridCol w:w="4946"/>
        <w:gridCol w:w="4946"/>
      </w:tblGrid>
      <w:tr>
        <w:tc>
          <w:tcPr>
            <w:tcW w:type="dxa" w:w="2160"/>
            <w:tcMar>
              <w:top w:w="80" w:type="dxa"/>
              <w:start w:w="100" w:type="dxa"/>
              <w:bottom w:w="80" w:type="dxa"/>
              <w:end w:w="100" w:type="dxa"/>
            </w:tcMar>
            <w:vAlign w:val="center"/>
            <w:shd w:fill="17324D"/>
          </w:tcPr>
          <w:p>
            <w:pPr>
              <w:spacing w:after="0"/>
            </w:pPr>
            <w:r/>
            <w:r>
              <w:rPr>
                <w:rFonts w:ascii="Aptos" w:hAnsi="Aptos"/>
                <w:b/>
                <w:color w:val="FFFFFF"/>
                <w:sz w:val="16"/>
              </w:rPr>
              <w:t>Assumption</w:t>
            </w:r>
          </w:p>
        </w:tc>
        <w:tc>
          <w:tcPr>
            <w:tcW w:type="dxa" w:w="8064"/>
            <w:tcMar>
              <w:top w:w="80" w:type="dxa"/>
              <w:start w:w="100" w:type="dxa"/>
              <w:bottom w:w="80" w:type="dxa"/>
              <w:end w:w="100" w:type="dxa"/>
            </w:tcMar>
            <w:vAlign w:val="center"/>
            <w:shd w:fill="17324D"/>
          </w:tcPr>
          <w:p>
            <w:pPr>
              <w:spacing w:after="0"/>
            </w:pPr>
            <w:r/>
            <w:r>
              <w:rPr>
                <w:rFonts w:ascii="Aptos" w:hAnsi="Aptos"/>
                <w:b/>
                <w:color w:val="FFFFFF"/>
                <w:sz w:val="16"/>
              </w:rPr>
              <w:t>Current project position</w:t>
            </w:r>
          </w:p>
        </w:tc>
      </w:tr>
      <w:tr>
        <w:tc>
          <w:tcPr>
            <w:tcW w:type="dxa" w:w="2160"/>
            <w:tcMar>
              <w:top w:w="80" w:type="dxa"/>
              <w:start w:w="100" w:type="dxa"/>
              <w:bottom w:w="80" w:type="dxa"/>
              <w:end w:w="100" w:type="dxa"/>
            </w:tcMar>
            <w:vAlign w:val="center"/>
            <w:shd w:fill="FFFFFF"/>
          </w:tcPr>
          <w:p>
            <w:pPr>
              <w:spacing w:after="0"/>
            </w:pPr>
            <w:r/>
            <w:r>
              <w:rPr>
                <w:rFonts w:ascii="Aptos" w:hAnsi="Aptos"/>
                <w:b w:val="0"/>
                <w:color w:val="222222"/>
                <w:sz w:val="16"/>
              </w:rPr>
              <w:t>Jurisdiction</w:t>
            </w:r>
          </w:p>
        </w:tc>
        <w:tc>
          <w:tcPr>
            <w:tcW w:type="dxa" w:w="8064"/>
            <w:tcMar>
              <w:top w:w="80" w:type="dxa"/>
              <w:start w:w="100" w:type="dxa"/>
              <w:bottom w:w="80" w:type="dxa"/>
              <w:end w:w="100" w:type="dxa"/>
            </w:tcMar>
            <w:vAlign w:val="center"/>
            <w:shd w:fill="FFFFFF"/>
          </w:tcPr>
          <w:p>
            <w:pPr>
              <w:spacing w:after="0"/>
            </w:pPr>
            <w:r/>
            <w:r>
              <w:rPr>
                <w:rFonts w:ascii="Aptos" w:hAnsi="Aptos"/>
                <w:b w:val="0"/>
                <w:color w:val="222222"/>
                <w:sz w:val="16"/>
              </w:rPr>
              <w:t>Duckworks operates primarily in the EU/EEA and sells products into European markets; exact Member State remains unconfirmed.</w:t>
            </w:r>
          </w:p>
        </w:tc>
      </w:tr>
      <w:tr>
        <w:tc>
          <w:tcPr>
            <w:tcW w:type="dxa" w:w="2160"/>
            <w:tcMar>
              <w:top w:w="80" w:type="dxa"/>
              <w:start w:w="100" w:type="dxa"/>
              <w:bottom w:w="80" w:type="dxa"/>
              <w:end w:w="100" w:type="dxa"/>
            </w:tcMar>
            <w:vAlign w:val="center"/>
            <w:shd w:fill="F5F7F9"/>
          </w:tcPr>
          <w:p>
            <w:pPr>
              <w:spacing w:after="0"/>
            </w:pPr>
            <w:r/>
            <w:r>
              <w:rPr>
                <w:rFonts w:ascii="Aptos" w:hAnsi="Aptos"/>
                <w:b w:val="0"/>
                <w:color w:val="222222"/>
                <w:sz w:val="16"/>
              </w:rPr>
              <w:t>Human authority</w:t>
            </w:r>
          </w:p>
        </w:tc>
        <w:tc>
          <w:tcPr>
            <w:tcW w:type="dxa" w:w="8064"/>
            <w:tcMar>
              <w:top w:w="80" w:type="dxa"/>
              <w:start w:w="100" w:type="dxa"/>
              <w:bottom w:w="80" w:type="dxa"/>
              <w:end w:w="100" w:type="dxa"/>
            </w:tcMar>
            <w:vAlign w:val="center"/>
            <w:shd w:fill="F5F7F9"/>
          </w:tcPr>
          <w:p>
            <w:pPr>
              <w:spacing w:after="0"/>
            </w:pPr>
            <w:r/>
            <w:r>
              <w:rPr>
                <w:rFonts w:ascii="Aptos" w:hAnsi="Aptos"/>
                <w:b w:val="0"/>
                <w:color w:val="222222"/>
                <w:sz w:val="16"/>
              </w:rPr>
              <w:t>Humans retain formal accountability for employment, product release, quality, procurement and material customer decisions; this must be validated system-by-system.</w:t>
            </w:r>
          </w:p>
        </w:tc>
      </w:tr>
      <w:tr>
        <w:tc>
          <w:tcPr>
            <w:tcW w:type="dxa" w:w="2160"/>
            <w:tcMar>
              <w:top w:w="80" w:type="dxa"/>
              <w:start w:w="100" w:type="dxa"/>
              <w:bottom w:w="80" w:type="dxa"/>
              <w:end w:w="100" w:type="dxa"/>
            </w:tcMar>
            <w:vAlign w:val="center"/>
            <w:shd w:fill="FFFFFF"/>
          </w:tcPr>
          <w:p>
            <w:pPr>
              <w:spacing w:after="0"/>
            </w:pPr>
            <w:r/>
            <w:r>
              <w:rPr>
                <w:rFonts w:ascii="Aptos" w:hAnsi="Aptos"/>
                <w:b w:val="0"/>
                <w:color w:val="222222"/>
                <w:sz w:val="16"/>
              </w:rPr>
              <w:t>DuckTalent</w:t>
            </w:r>
          </w:p>
        </w:tc>
        <w:tc>
          <w:tcPr>
            <w:tcW w:type="dxa" w:w="8064"/>
            <w:tcMar>
              <w:top w:w="80" w:type="dxa"/>
              <w:start w:w="100" w:type="dxa"/>
              <w:bottom w:w="80" w:type="dxa"/>
              <w:end w:w="100" w:type="dxa"/>
            </w:tcMar>
            <w:vAlign w:val="center"/>
            <w:shd w:fill="FFFFFF"/>
          </w:tcPr>
          <w:p>
            <w:pPr>
              <w:spacing w:after="0"/>
            </w:pPr>
            <w:r/>
            <w:r>
              <w:rPr>
                <w:rFonts w:ascii="Aptos" w:hAnsi="Aptos"/>
                <w:b w:val="0"/>
                <w:color w:val="222222"/>
                <w:sz w:val="16"/>
              </w:rPr>
              <w:t>Parses, compares, ranks and recommends applicants but does not autonomously issue final hiring/rejection decisions.</w:t>
            </w:r>
          </w:p>
        </w:tc>
      </w:tr>
      <w:tr>
        <w:tc>
          <w:tcPr>
            <w:tcW w:type="dxa" w:w="2160"/>
            <w:tcMar>
              <w:top w:w="80" w:type="dxa"/>
              <w:start w:w="100" w:type="dxa"/>
              <w:bottom w:w="80" w:type="dxa"/>
              <w:end w:w="100" w:type="dxa"/>
            </w:tcMar>
            <w:vAlign w:val="center"/>
            <w:shd w:fill="F5F7F9"/>
          </w:tcPr>
          <w:p>
            <w:pPr>
              <w:spacing w:after="0"/>
            </w:pPr>
            <w:r/>
            <w:r>
              <w:rPr>
                <w:rFonts w:ascii="Aptos" w:hAnsi="Aptos"/>
                <w:b w:val="0"/>
                <w:color w:val="222222"/>
                <w:sz w:val="16"/>
              </w:rPr>
              <w:t>DuckDesign / WingInspect</w:t>
            </w:r>
          </w:p>
        </w:tc>
        <w:tc>
          <w:tcPr>
            <w:tcW w:type="dxa" w:w="8064"/>
            <w:tcMar>
              <w:top w:w="80" w:type="dxa"/>
              <w:start w:w="100" w:type="dxa"/>
              <w:bottom w:w="80" w:type="dxa"/>
              <w:end w:w="100" w:type="dxa"/>
            </w:tcMar>
            <w:vAlign w:val="center"/>
            <w:shd w:fill="F5F7F9"/>
          </w:tcPr>
          <w:p>
            <w:pPr>
              <w:spacing w:after="0"/>
            </w:pPr>
            <w:r/>
            <w:r>
              <w:rPr>
                <w:rFonts w:ascii="Aptos" w:hAnsi="Aptos"/>
                <w:b w:val="0"/>
                <w:color w:val="222222"/>
                <w:sz w:val="16"/>
              </w:rPr>
              <w:t>Outputs are advisory / defect flags, with competent humans retaining final design or inspection authority; this remains critical to validate.</w:t>
            </w:r>
          </w:p>
        </w:tc>
      </w:tr>
      <w:tr>
        <w:tc>
          <w:tcPr>
            <w:tcW w:type="dxa" w:w="2160"/>
            <w:tcMar>
              <w:top w:w="80" w:type="dxa"/>
              <w:start w:w="100" w:type="dxa"/>
              <w:bottom w:w="80" w:type="dxa"/>
              <w:end w:w="100" w:type="dxa"/>
            </w:tcMar>
            <w:vAlign w:val="center"/>
            <w:shd w:fill="FFFFFF"/>
          </w:tcPr>
          <w:p>
            <w:pPr>
              <w:spacing w:after="0"/>
            </w:pPr>
            <w:r/>
            <w:r>
              <w:rPr>
                <w:rFonts w:ascii="Aptos" w:hAnsi="Aptos"/>
                <w:b w:val="0"/>
                <w:color w:val="222222"/>
                <w:sz w:val="16"/>
              </w:rPr>
              <w:t>Third parties</w:t>
            </w:r>
          </w:p>
        </w:tc>
        <w:tc>
          <w:tcPr>
            <w:tcW w:type="dxa" w:w="8064"/>
            <w:tcMar>
              <w:top w:w="80" w:type="dxa"/>
              <w:start w:w="100" w:type="dxa"/>
              <w:bottom w:w="80" w:type="dxa"/>
              <w:end w:w="100" w:type="dxa"/>
            </w:tcMar>
            <w:vAlign w:val="center"/>
            <w:shd w:fill="FFFFFF"/>
          </w:tcPr>
          <w:p>
            <w:pPr>
              <w:spacing w:after="0"/>
            </w:pPr>
            <w:r/>
            <w:r>
              <w:rPr>
                <w:rFonts w:ascii="Aptos" w:hAnsi="Aptos"/>
                <w:b w:val="0"/>
                <w:color w:val="222222"/>
                <w:sz w:val="16"/>
              </w:rPr>
              <w:t>Duckworks uses a mix of internally developed and third-party AI models/services.</w:t>
            </w:r>
          </w:p>
        </w:tc>
      </w:tr>
      <w:tr>
        <w:tc>
          <w:tcPr>
            <w:tcW w:type="dxa" w:w="2160"/>
            <w:tcMar>
              <w:top w:w="80" w:type="dxa"/>
              <w:start w:w="100" w:type="dxa"/>
              <w:bottom w:w="80" w:type="dxa"/>
              <w:end w:w="100" w:type="dxa"/>
            </w:tcMar>
            <w:vAlign w:val="center"/>
            <w:shd w:fill="F5F7F9"/>
          </w:tcPr>
          <w:p>
            <w:pPr>
              <w:spacing w:after="0"/>
            </w:pPr>
            <w:r/>
            <w:r>
              <w:rPr>
                <w:rFonts w:ascii="Aptos" w:hAnsi="Aptos"/>
                <w:b w:val="0"/>
                <w:color w:val="222222"/>
                <w:sz w:val="16"/>
              </w:rPr>
              <w:t>Data</w:t>
            </w:r>
          </w:p>
        </w:tc>
        <w:tc>
          <w:tcPr>
            <w:tcW w:type="dxa" w:w="8064"/>
            <w:tcMar>
              <w:top w:w="80" w:type="dxa"/>
              <w:start w:w="100" w:type="dxa"/>
              <w:bottom w:w="80" w:type="dxa"/>
              <w:end w:w="100" w:type="dxa"/>
            </w:tcMar>
            <w:vAlign w:val="center"/>
            <w:shd w:fill="F5F7F9"/>
          </w:tcPr>
          <w:p>
            <w:pPr>
              <w:spacing w:after="0"/>
            </w:pPr>
            <w:r/>
            <w:r>
              <w:rPr>
                <w:rFonts w:ascii="Aptos" w:hAnsi="Aptos"/>
                <w:b w:val="0"/>
                <w:color w:val="222222"/>
                <w:sz w:val="16"/>
              </w:rPr>
              <w:t>Systems may process confidential IP and selected customer, employee or applicant personal data.</w:t>
            </w:r>
          </w:p>
        </w:tc>
      </w:tr>
      <w:tr>
        <w:tc>
          <w:tcPr>
            <w:tcW w:type="dxa" w:w="2160"/>
            <w:tcMar>
              <w:top w:w="80" w:type="dxa"/>
              <w:start w:w="100" w:type="dxa"/>
              <w:bottom w:w="80" w:type="dxa"/>
              <w:end w:w="100" w:type="dxa"/>
            </w:tcMar>
            <w:vAlign w:val="center"/>
            <w:shd w:fill="FFFFFF"/>
          </w:tcPr>
          <w:p>
            <w:pPr>
              <w:spacing w:after="0"/>
            </w:pPr>
            <w:r/>
            <w:r>
              <w:rPr>
                <w:rFonts w:ascii="Aptos" w:hAnsi="Aptos"/>
                <w:b w:val="0"/>
                <w:color w:val="222222"/>
                <w:sz w:val="16"/>
              </w:rPr>
              <w:t>Product scope</w:t>
            </w:r>
          </w:p>
        </w:tc>
        <w:tc>
          <w:tcPr>
            <w:tcW w:type="dxa" w:w="8064"/>
            <w:tcMar>
              <w:top w:w="80" w:type="dxa"/>
              <w:start w:w="100" w:type="dxa"/>
              <w:bottom w:w="80" w:type="dxa"/>
              <w:end w:w="100" w:type="dxa"/>
            </w:tcMar>
            <w:vAlign w:val="center"/>
            <w:shd w:fill="FFFFFF"/>
          </w:tcPr>
          <w:p>
            <w:pPr>
              <w:spacing w:after="0"/>
            </w:pPr>
            <w:r/>
            <w:r>
              <w:rPr>
                <w:rFonts w:ascii="Aptos" w:hAnsi="Aptos"/>
                <w:b w:val="0"/>
                <w:color w:val="222222"/>
                <w:sz w:val="16"/>
              </w:rPr>
              <w:t>Some products may include digital/connected functionality; exact machinery, CRA and AI-product-route applicability is product-specific.</w:t>
            </w:r>
          </w:p>
        </w:tc>
      </w:tr>
      <w:tr>
        <w:tc>
          <w:tcPr>
            <w:tcW w:type="dxa" w:w="2160"/>
            <w:tcMar>
              <w:top w:w="80" w:type="dxa"/>
              <w:start w:w="100" w:type="dxa"/>
              <w:bottom w:w="80" w:type="dxa"/>
              <w:end w:w="100" w:type="dxa"/>
            </w:tcMar>
            <w:vAlign w:val="center"/>
            <w:shd w:fill="F5F7F9"/>
          </w:tcPr>
          <w:p>
            <w:pPr>
              <w:spacing w:after="0"/>
            </w:pPr>
            <w:r/>
            <w:r>
              <w:rPr>
                <w:rFonts w:ascii="Aptos" w:hAnsi="Aptos"/>
                <w:b w:val="0"/>
                <w:color w:val="222222"/>
                <w:sz w:val="16"/>
              </w:rPr>
              <w:t>Legal status</w:t>
            </w:r>
          </w:p>
        </w:tc>
        <w:tc>
          <w:tcPr>
            <w:tcW w:type="dxa" w:w="8064"/>
            <w:tcMar>
              <w:top w:w="80" w:type="dxa"/>
              <w:start w:w="100" w:type="dxa"/>
              <w:bottom w:w="80" w:type="dxa"/>
              <w:end w:w="100" w:type="dxa"/>
            </w:tcMar>
            <w:vAlign w:val="center"/>
            <w:shd w:fill="F5F7F9"/>
          </w:tcPr>
          <w:p>
            <w:pPr>
              <w:spacing w:after="0"/>
            </w:pPr>
            <w:r/>
            <w:r>
              <w:rPr>
                <w:rFonts w:ascii="Aptos" w:hAnsi="Aptos"/>
                <w:b w:val="0"/>
                <w:color w:val="222222"/>
                <w:sz w:val="16"/>
              </w:rPr>
              <w:t>Regulatory mappings are screening outputs, not formal legal opinions.</w:t>
            </w:r>
          </w:p>
        </w:tc>
      </w:tr>
    </w:tbl>
    <w:p>
      <w:pPr>
        <w:pStyle w:val="Heading1"/>
        <w:keepNext/>
      </w:pPr>
      <w:r>
        <w:t>2. Mandatory and Conditional Legal Findings</w:t>
      </w:r>
    </w:p>
    <w:p>
      <w:pPr>
        <w:keepNext/>
        <w:spacing w:before="100" w:after="40"/>
      </w:pPr>
      <w:r>
        <w:rPr>
          <w:b/>
          <w:color w:val="17324D"/>
          <w:sz w:val="21"/>
        </w:rPr>
        <w:t>L-01  EU jurisdiction and market nexus must be validated before a definitive legal conclusion.</w:t>
      </w:r>
    </w:p>
    <w:tbl>
      <w:tblPr>
        <w:tblW w:type="auto" w:w="0"/>
        <w:jc w:val="center"/>
        <w:tblLayout w:type="fixed"/>
        <w:tblLook w:firstColumn="1" w:firstRow="1" w:lastColumn="0" w:lastRow="0" w:noHBand="0" w:noVBand="1" w:val="04A0"/>
      </w:tblPr>
      <w:tblGrid>
        <w:gridCol w:w="1944"/>
        <w:gridCol w:w="8280"/>
      </w:tblGrid>
      <w:tr>
        <w:tc>
          <w:tcPr>
            <w:tcW w:type="dxa" w:w="4946"/>
            <w:tcMar>
              <w:top w:w="80" w:type="dxa"/>
              <w:start w:w="100" w:type="dxa"/>
              <w:bottom w:w="80" w:type="dxa"/>
              <w:end w:w="100" w:type="dxa"/>
            </w:tcMar>
            <w:vAlign w:val="center"/>
            <w:shd w:fill="2A6F6B"/>
          </w:tcPr>
          <w:p>
            <w:pPr>
              <w:spacing w:after="0"/>
            </w:pPr>
            <w:r/>
            <w:r>
              <w:rPr>
                <w:rFonts w:ascii="Aptos" w:hAnsi="Aptos"/>
                <w:b/>
                <w:color w:val="FFFFFF"/>
                <w:sz w:val="16"/>
              </w:rPr>
              <w:t>Classification</w:t>
            </w:r>
          </w:p>
        </w:tc>
        <w:tc>
          <w:tcPr>
            <w:tcW w:type="dxa" w:w="4946"/>
            <w:tcMar>
              <w:top w:w="80" w:type="dxa"/>
              <w:start w:w="100" w:type="dxa"/>
              <w:bottom w:w="80" w:type="dxa"/>
              <w:end w:w="100" w:type="dxa"/>
            </w:tcMar>
            <w:vAlign w:val="center"/>
            <w:shd w:fill="FFFFFF"/>
          </w:tcPr>
          <w:p>
            <w:pPr>
              <w:spacing w:after="0"/>
            </w:pPr>
            <w:r/>
            <w:r>
              <w:rPr>
                <w:rFonts w:ascii="Aptos" w:hAnsi="Aptos"/>
                <w:b w:val="0"/>
                <w:color w:val="222222"/>
                <w:sz w:val="16"/>
              </w:rPr>
              <w:t>Mandatory legal scoping</w:t>
            </w:r>
          </w:p>
        </w:tc>
      </w:tr>
      <w:tr>
        <w:tc>
          <w:tcPr>
            <w:tcW w:type="dxa" w:w="4946"/>
            <w:tcMar>
              <w:top w:w="80" w:type="dxa"/>
              <w:start w:w="100" w:type="dxa"/>
              <w:bottom w:w="80" w:type="dxa"/>
              <w:end w:w="100" w:type="dxa"/>
            </w:tcMar>
            <w:vAlign w:val="center"/>
            <w:shd w:fill="2A6F6B"/>
          </w:tcPr>
          <w:p>
            <w:pPr>
              <w:spacing w:after="0"/>
            </w:pPr>
            <w:r/>
            <w:r>
              <w:rPr>
                <w:rFonts w:ascii="Aptos" w:hAnsi="Aptos"/>
                <w:b/>
                <w:color w:val="FFFFFF"/>
                <w:sz w:val="16"/>
              </w:rPr>
              <w:t>Source / provision</w:t>
            </w:r>
          </w:p>
        </w:tc>
        <w:tc>
          <w:tcPr>
            <w:tcW w:type="dxa" w:w="4946"/>
            <w:tcMar>
              <w:top w:w="80" w:type="dxa"/>
              <w:start w:w="100" w:type="dxa"/>
              <w:bottom w:w="80" w:type="dxa"/>
              <w:end w:w="100" w:type="dxa"/>
            </w:tcMar>
            <w:vAlign w:val="center"/>
            <w:shd w:fill="F7F9FA"/>
          </w:tcPr>
          <w:p>
            <w:pPr>
              <w:spacing w:after="0"/>
            </w:pPr>
            <w:r/>
            <w:r>
              <w:rPr>
                <w:rFonts w:ascii="Aptos" w:hAnsi="Aptos"/>
                <w:b w:val="0"/>
                <w:color w:val="222222"/>
                <w:sz w:val="16"/>
              </w:rPr>
              <w:t>AI Act Art. 2; GDPR Art. 3; national implementation of directives | S01, S10, S17</w:t>
            </w:r>
          </w:p>
        </w:tc>
      </w:tr>
      <w:tr>
        <w:tc>
          <w:tcPr>
            <w:tcW w:type="dxa" w:w="4946"/>
            <w:tcMar>
              <w:top w:w="80" w:type="dxa"/>
              <w:start w:w="100" w:type="dxa"/>
              <w:bottom w:w="80" w:type="dxa"/>
              <w:end w:w="100" w:type="dxa"/>
            </w:tcMar>
            <w:vAlign w:val="center"/>
            <w:shd w:fill="2A6F6B"/>
          </w:tcPr>
          <w:p>
            <w:pPr>
              <w:spacing w:after="0"/>
            </w:pPr>
            <w:r/>
            <w:r>
              <w:rPr>
                <w:rFonts w:ascii="Aptos" w:hAnsi="Aptos"/>
                <w:b/>
                <w:color w:val="FFFFFF"/>
                <w:sz w:val="16"/>
              </w:rPr>
              <w:t>Applicability</w:t>
            </w:r>
          </w:p>
        </w:tc>
        <w:tc>
          <w:tcPr>
            <w:tcW w:type="dxa" w:w="4946"/>
            <w:tcMar>
              <w:top w:w="80" w:type="dxa"/>
              <w:start w:w="100" w:type="dxa"/>
              <w:bottom w:w="80" w:type="dxa"/>
              <w:end w:w="100" w:type="dxa"/>
            </w:tcMar>
            <w:vAlign w:val="center"/>
            <w:shd w:fill="FFFFFF"/>
          </w:tcPr>
          <w:p>
            <w:pPr>
              <w:spacing w:after="0"/>
            </w:pPr>
            <w:r/>
            <w:r>
              <w:rPr>
                <w:rFonts w:ascii="Aptos" w:hAnsi="Aptos"/>
                <w:b w:val="0"/>
                <w:color w:val="222222"/>
                <w:sz w:val="16"/>
              </w:rPr>
              <w:t>Duckworks is assumed to operate primarily in the EU/EEA and sell into European markets. This supports EU screening but does not establish the exact Member State law.</w:t>
            </w:r>
          </w:p>
        </w:tc>
      </w:tr>
      <w:tr>
        <w:tc>
          <w:tcPr>
            <w:tcW w:type="dxa" w:w="4946"/>
            <w:tcMar>
              <w:top w:w="80" w:type="dxa"/>
              <w:start w:w="100" w:type="dxa"/>
              <w:bottom w:w="80" w:type="dxa"/>
              <w:end w:w="100" w:type="dxa"/>
            </w:tcMar>
            <w:vAlign w:val="center"/>
            <w:shd w:fill="2A6F6B"/>
          </w:tcPr>
          <w:p>
            <w:pPr>
              <w:spacing w:after="0"/>
            </w:pPr>
            <w:r/>
            <w:r>
              <w:rPr>
                <w:rFonts w:ascii="Aptos" w:hAnsi="Aptos"/>
                <w:b/>
                <w:color w:val="FFFFFF"/>
                <w:sz w:val="16"/>
              </w:rPr>
              <w:t>Timing / status</w:t>
            </w:r>
          </w:p>
        </w:tc>
        <w:tc>
          <w:tcPr>
            <w:tcW w:type="dxa" w:w="4946"/>
            <w:tcMar>
              <w:top w:w="80" w:type="dxa"/>
              <w:start w:w="100" w:type="dxa"/>
              <w:bottom w:w="80" w:type="dxa"/>
              <w:end w:w="100" w:type="dxa"/>
            </w:tcMar>
            <w:vAlign w:val="center"/>
            <w:shd w:fill="F7F9FA"/>
          </w:tcPr>
          <w:p>
            <w:pPr>
              <w:spacing w:after="0"/>
            </w:pPr>
            <w:r/>
            <w:r>
              <w:rPr>
                <w:rFonts w:ascii="Aptos" w:hAnsi="Aptos"/>
                <w:b w:val="0"/>
                <w:color w:val="222222"/>
                <w:sz w:val="16"/>
              </w:rPr>
              <w:t>Current</w:t>
            </w:r>
          </w:p>
        </w:tc>
      </w:tr>
      <w:tr>
        <w:tc>
          <w:tcPr>
            <w:tcW w:type="dxa" w:w="4946"/>
            <w:tcMar>
              <w:top w:w="80" w:type="dxa"/>
              <w:start w:w="100" w:type="dxa"/>
              <w:bottom w:w="80" w:type="dxa"/>
              <w:end w:w="100" w:type="dxa"/>
            </w:tcMar>
            <w:vAlign w:val="center"/>
            <w:shd w:fill="2A6F6B"/>
          </w:tcPr>
          <w:p>
            <w:pPr>
              <w:spacing w:after="0"/>
            </w:pPr>
            <w:r/>
            <w:r>
              <w:rPr>
                <w:rFonts w:ascii="Aptos" w:hAnsi="Aptos"/>
                <w:b/>
                <w:color w:val="FFFFFF"/>
                <w:sz w:val="16"/>
              </w:rPr>
              <w:t>Uncertainty / action</w:t>
            </w:r>
          </w:p>
        </w:tc>
        <w:tc>
          <w:tcPr>
            <w:tcW w:type="dxa" w:w="4946"/>
            <w:tcMar>
              <w:top w:w="80" w:type="dxa"/>
              <w:start w:w="100" w:type="dxa"/>
              <w:bottom w:w="80" w:type="dxa"/>
              <w:end w:w="100" w:type="dxa"/>
            </w:tcMar>
            <w:vAlign w:val="center"/>
            <w:shd w:fill="FFFFFF"/>
          </w:tcPr>
          <w:p>
            <w:pPr>
              <w:spacing w:after="0"/>
            </w:pPr>
            <w:r/>
            <w:r>
              <w:rPr>
                <w:rFonts w:ascii="Aptos" w:hAnsi="Aptos"/>
                <w:b w:val="0"/>
                <w:color w:val="222222"/>
                <w:sz w:val="16"/>
              </w:rPr>
              <w:t>Uncertainty: High.  Duckworks action: Replace fictional location with an assumed EU Member State for portfolio legal mapping; validate jurisdiction per system.</w:t>
            </w:r>
          </w:p>
        </w:tc>
      </w:tr>
    </w:tbl>
    <w:p>
      <w:pPr>
        <w:spacing w:after="20"/>
      </w:pPr>
    </w:p>
    <w:p>
      <w:pPr>
        <w:keepNext/>
        <w:spacing w:before="100" w:after="40"/>
      </w:pPr>
      <w:r>
        <w:rPr>
          <w:b/>
          <w:color w:val="17324D"/>
          <w:sz w:val="21"/>
        </w:rPr>
        <w:t>L-02  Duckworks must determine whether each capability is an AI system and determine its legal role in the AI value chain.</w:t>
      </w:r>
    </w:p>
    <w:tbl>
      <w:tblPr>
        <w:tblW w:type="auto" w:w="0"/>
        <w:jc w:val="center"/>
        <w:tblLayout w:type="fixed"/>
        <w:tblLook w:firstColumn="1" w:firstRow="1" w:lastColumn="0" w:lastRow="0" w:noHBand="0" w:noVBand="1" w:val="04A0"/>
      </w:tblPr>
      <w:tblGrid>
        <w:gridCol w:w="1944"/>
        <w:gridCol w:w="8280"/>
      </w:tblGrid>
      <w:tr>
        <w:tc>
          <w:tcPr>
            <w:tcW w:type="dxa" w:w="4946"/>
            <w:tcMar>
              <w:top w:w="80" w:type="dxa"/>
              <w:start w:w="100" w:type="dxa"/>
              <w:bottom w:w="80" w:type="dxa"/>
              <w:end w:w="100" w:type="dxa"/>
            </w:tcMar>
            <w:vAlign w:val="center"/>
            <w:shd w:fill="2A6F6B"/>
          </w:tcPr>
          <w:p>
            <w:pPr>
              <w:spacing w:after="0"/>
            </w:pPr>
            <w:r/>
            <w:r>
              <w:rPr>
                <w:rFonts w:ascii="Aptos" w:hAnsi="Aptos"/>
                <w:b/>
                <w:color w:val="FFFFFF"/>
                <w:sz w:val="16"/>
              </w:rPr>
              <w:t>Classification</w:t>
            </w:r>
          </w:p>
        </w:tc>
        <w:tc>
          <w:tcPr>
            <w:tcW w:type="dxa" w:w="4946"/>
            <w:tcMar>
              <w:top w:w="80" w:type="dxa"/>
              <w:start w:w="100" w:type="dxa"/>
              <w:bottom w:w="80" w:type="dxa"/>
              <w:end w:w="100" w:type="dxa"/>
            </w:tcMar>
            <w:vAlign w:val="center"/>
            <w:shd w:fill="FFFFFF"/>
          </w:tcPr>
          <w:p>
            <w:pPr>
              <w:spacing w:after="0"/>
            </w:pPr>
            <w:r/>
            <w:r>
              <w:rPr>
                <w:rFonts w:ascii="Aptos" w:hAnsi="Aptos"/>
                <w:b w:val="0"/>
                <w:color w:val="222222"/>
                <w:sz w:val="16"/>
              </w:rPr>
              <w:t>Mandatory legal requirement</w:t>
            </w:r>
          </w:p>
        </w:tc>
      </w:tr>
      <w:tr>
        <w:tc>
          <w:tcPr>
            <w:tcW w:type="dxa" w:w="4946"/>
            <w:tcMar>
              <w:top w:w="80" w:type="dxa"/>
              <w:start w:w="100" w:type="dxa"/>
              <w:bottom w:w="80" w:type="dxa"/>
              <w:end w:w="100" w:type="dxa"/>
            </w:tcMar>
            <w:vAlign w:val="center"/>
            <w:shd w:fill="2A6F6B"/>
          </w:tcPr>
          <w:p>
            <w:pPr>
              <w:spacing w:after="0"/>
            </w:pPr>
            <w:r/>
            <w:r>
              <w:rPr>
                <w:rFonts w:ascii="Aptos" w:hAnsi="Aptos"/>
                <w:b/>
                <w:color w:val="FFFFFF"/>
                <w:sz w:val="16"/>
              </w:rPr>
              <w:t>Source / provision</w:t>
            </w:r>
          </w:p>
        </w:tc>
        <w:tc>
          <w:tcPr>
            <w:tcW w:type="dxa" w:w="4946"/>
            <w:tcMar>
              <w:top w:w="80" w:type="dxa"/>
              <w:start w:w="100" w:type="dxa"/>
              <w:bottom w:w="80" w:type="dxa"/>
              <w:end w:w="100" w:type="dxa"/>
            </w:tcMar>
            <w:vAlign w:val="center"/>
            <w:shd w:fill="F7F9FA"/>
          </w:tcPr>
          <w:p>
            <w:pPr>
              <w:spacing w:after="0"/>
            </w:pPr>
            <w:r/>
            <w:r>
              <w:rPr>
                <w:rFonts w:ascii="Aptos" w:hAnsi="Aptos"/>
                <w:b w:val="0"/>
                <w:color w:val="222222"/>
                <w:sz w:val="16"/>
              </w:rPr>
              <w:t>AI Act Arts. 2-3; provider/deployer definitions and scope | S01, S09</w:t>
            </w:r>
          </w:p>
        </w:tc>
      </w:tr>
      <w:tr>
        <w:tc>
          <w:tcPr>
            <w:tcW w:type="dxa" w:w="4946"/>
            <w:tcMar>
              <w:top w:w="80" w:type="dxa"/>
              <w:start w:w="100" w:type="dxa"/>
              <w:bottom w:w="80" w:type="dxa"/>
              <w:end w:w="100" w:type="dxa"/>
            </w:tcMar>
            <w:vAlign w:val="center"/>
            <w:shd w:fill="2A6F6B"/>
          </w:tcPr>
          <w:p>
            <w:pPr>
              <w:spacing w:after="0"/>
            </w:pPr>
            <w:r/>
            <w:r>
              <w:rPr>
                <w:rFonts w:ascii="Aptos" w:hAnsi="Aptos"/>
                <w:b/>
                <w:color w:val="FFFFFF"/>
                <w:sz w:val="16"/>
              </w:rPr>
              <w:t>Applicability</w:t>
            </w:r>
          </w:p>
        </w:tc>
        <w:tc>
          <w:tcPr>
            <w:tcW w:type="dxa" w:w="4946"/>
            <w:tcMar>
              <w:top w:w="80" w:type="dxa"/>
              <w:start w:w="100" w:type="dxa"/>
              <w:bottom w:w="80" w:type="dxa"/>
              <w:end w:w="100" w:type="dxa"/>
            </w:tcMar>
            <w:vAlign w:val="center"/>
            <w:shd w:fill="FFFFFF"/>
          </w:tcPr>
          <w:p>
            <w:pPr>
              <w:spacing w:after="0"/>
            </w:pPr>
            <w:r/>
            <w:r>
              <w:rPr>
                <w:rFonts w:ascii="Aptos" w:hAnsi="Aptos"/>
                <w:b w:val="0"/>
                <w:color w:val="222222"/>
                <w:sz w:val="16"/>
              </w:rPr>
              <w:t>Applies to each material use case before classification. Duckworks may be provider, deployer, or both depending on development, branding, modification and supply arrangements.</w:t>
            </w:r>
          </w:p>
        </w:tc>
      </w:tr>
      <w:tr>
        <w:tc>
          <w:tcPr>
            <w:tcW w:type="dxa" w:w="4946"/>
            <w:tcMar>
              <w:top w:w="80" w:type="dxa"/>
              <w:start w:w="100" w:type="dxa"/>
              <w:bottom w:w="80" w:type="dxa"/>
              <w:end w:w="100" w:type="dxa"/>
            </w:tcMar>
            <w:vAlign w:val="center"/>
            <w:shd w:fill="2A6F6B"/>
          </w:tcPr>
          <w:p>
            <w:pPr>
              <w:spacing w:after="0"/>
            </w:pPr>
            <w:r/>
            <w:r>
              <w:rPr>
                <w:rFonts w:ascii="Aptos" w:hAnsi="Aptos"/>
                <w:b/>
                <w:color w:val="FFFFFF"/>
                <w:sz w:val="16"/>
              </w:rPr>
              <w:t>Timing / status</w:t>
            </w:r>
          </w:p>
        </w:tc>
        <w:tc>
          <w:tcPr>
            <w:tcW w:type="dxa" w:w="4946"/>
            <w:tcMar>
              <w:top w:w="80" w:type="dxa"/>
              <w:start w:w="100" w:type="dxa"/>
              <w:bottom w:w="80" w:type="dxa"/>
              <w:end w:w="100" w:type="dxa"/>
            </w:tcMar>
            <w:vAlign w:val="center"/>
            <w:shd w:fill="F7F9FA"/>
          </w:tcPr>
          <w:p>
            <w:pPr>
              <w:spacing w:after="0"/>
            </w:pPr>
            <w:r/>
            <w:r>
              <w:rPr>
                <w:rFonts w:ascii="Aptos" w:hAnsi="Aptos"/>
                <w:b w:val="0"/>
                <w:color w:val="222222"/>
                <w:sz w:val="16"/>
              </w:rPr>
              <w:t>Current</w:t>
            </w:r>
          </w:p>
        </w:tc>
      </w:tr>
      <w:tr>
        <w:tc>
          <w:tcPr>
            <w:tcW w:type="dxa" w:w="4946"/>
            <w:tcMar>
              <w:top w:w="80" w:type="dxa"/>
              <w:start w:w="100" w:type="dxa"/>
              <w:bottom w:w="80" w:type="dxa"/>
              <w:end w:w="100" w:type="dxa"/>
            </w:tcMar>
            <w:vAlign w:val="center"/>
            <w:shd w:fill="2A6F6B"/>
          </w:tcPr>
          <w:p>
            <w:pPr>
              <w:spacing w:after="0"/>
            </w:pPr>
            <w:r/>
            <w:r>
              <w:rPr>
                <w:rFonts w:ascii="Aptos" w:hAnsi="Aptos"/>
                <w:b/>
                <w:color w:val="FFFFFF"/>
                <w:sz w:val="16"/>
              </w:rPr>
              <w:t>Uncertainty / action</w:t>
            </w:r>
          </w:p>
        </w:tc>
        <w:tc>
          <w:tcPr>
            <w:tcW w:type="dxa" w:w="4946"/>
            <w:tcMar>
              <w:top w:w="80" w:type="dxa"/>
              <w:start w:w="100" w:type="dxa"/>
              <w:bottom w:w="80" w:type="dxa"/>
              <w:end w:w="100" w:type="dxa"/>
            </w:tcMar>
            <w:vAlign w:val="center"/>
            <w:shd w:fill="FFFFFF"/>
          </w:tcPr>
          <w:p>
            <w:pPr>
              <w:spacing w:after="0"/>
            </w:pPr>
            <w:r/>
            <w:r>
              <w:rPr>
                <w:rFonts w:ascii="Aptos" w:hAnsi="Aptos"/>
                <w:b w:val="0"/>
                <w:color w:val="222222"/>
                <w:sz w:val="16"/>
              </w:rPr>
              <w:t>Uncertainty: High.  Duckworks action: Add AI Act role fields to the inventory and require Legal/Compliance confirmation at intake.</w:t>
            </w:r>
          </w:p>
        </w:tc>
      </w:tr>
    </w:tbl>
    <w:p>
      <w:pPr>
        <w:spacing w:after="20"/>
      </w:pPr>
    </w:p>
    <w:p>
      <w:pPr>
        <w:keepNext/>
        <w:spacing w:before="100" w:after="40"/>
      </w:pPr>
      <w:r>
        <w:rPr>
          <w:b/>
          <w:color w:val="17324D"/>
          <w:sz w:val="21"/>
        </w:rPr>
        <w:t>L-03  AI literacy measures are required for staff and other persons dealing with AI on Duckworks behalf.</w:t>
      </w:r>
    </w:p>
    <w:tbl>
      <w:tblPr>
        <w:tblW w:type="auto" w:w="0"/>
        <w:jc w:val="center"/>
        <w:tblLayout w:type="fixed"/>
        <w:tblLook w:firstColumn="1" w:firstRow="1" w:lastColumn="0" w:lastRow="0" w:noHBand="0" w:noVBand="1" w:val="04A0"/>
      </w:tblPr>
      <w:tblGrid>
        <w:gridCol w:w="1944"/>
        <w:gridCol w:w="8280"/>
      </w:tblGrid>
      <w:tr>
        <w:tc>
          <w:tcPr>
            <w:tcW w:type="dxa" w:w="4946"/>
            <w:tcMar>
              <w:top w:w="80" w:type="dxa"/>
              <w:start w:w="100" w:type="dxa"/>
              <w:bottom w:w="80" w:type="dxa"/>
              <w:end w:w="100" w:type="dxa"/>
            </w:tcMar>
            <w:vAlign w:val="center"/>
            <w:shd w:fill="2A6F6B"/>
          </w:tcPr>
          <w:p>
            <w:pPr>
              <w:spacing w:after="0"/>
            </w:pPr>
            <w:r/>
            <w:r>
              <w:rPr>
                <w:rFonts w:ascii="Aptos" w:hAnsi="Aptos"/>
                <w:b/>
                <w:color w:val="FFFFFF"/>
                <w:sz w:val="16"/>
              </w:rPr>
              <w:t>Classification</w:t>
            </w:r>
          </w:p>
        </w:tc>
        <w:tc>
          <w:tcPr>
            <w:tcW w:type="dxa" w:w="4946"/>
            <w:tcMar>
              <w:top w:w="80" w:type="dxa"/>
              <w:start w:w="100" w:type="dxa"/>
              <w:bottom w:w="80" w:type="dxa"/>
              <w:end w:w="100" w:type="dxa"/>
            </w:tcMar>
            <w:vAlign w:val="center"/>
            <w:shd w:fill="FFFFFF"/>
          </w:tcPr>
          <w:p>
            <w:pPr>
              <w:spacing w:after="0"/>
            </w:pPr>
            <w:r/>
            <w:r>
              <w:rPr>
                <w:rFonts w:ascii="Aptos" w:hAnsi="Aptos"/>
                <w:b w:val="0"/>
                <w:color w:val="222222"/>
                <w:sz w:val="16"/>
              </w:rPr>
              <w:t>Mandatory legal requirement</w:t>
            </w:r>
          </w:p>
        </w:tc>
      </w:tr>
      <w:tr>
        <w:tc>
          <w:tcPr>
            <w:tcW w:type="dxa" w:w="4946"/>
            <w:tcMar>
              <w:top w:w="80" w:type="dxa"/>
              <w:start w:w="100" w:type="dxa"/>
              <w:bottom w:w="80" w:type="dxa"/>
              <w:end w:w="100" w:type="dxa"/>
            </w:tcMar>
            <w:vAlign w:val="center"/>
            <w:shd w:fill="2A6F6B"/>
          </w:tcPr>
          <w:p>
            <w:pPr>
              <w:spacing w:after="0"/>
            </w:pPr>
            <w:r/>
            <w:r>
              <w:rPr>
                <w:rFonts w:ascii="Aptos" w:hAnsi="Aptos"/>
                <w:b/>
                <w:color w:val="FFFFFF"/>
                <w:sz w:val="16"/>
              </w:rPr>
              <w:t>Source / provision</w:t>
            </w:r>
          </w:p>
        </w:tc>
        <w:tc>
          <w:tcPr>
            <w:tcW w:type="dxa" w:w="4946"/>
            <w:tcMar>
              <w:top w:w="80" w:type="dxa"/>
              <w:start w:w="100" w:type="dxa"/>
              <w:bottom w:w="80" w:type="dxa"/>
              <w:end w:w="100" w:type="dxa"/>
            </w:tcMar>
            <w:vAlign w:val="center"/>
            <w:shd w:fill="F7F9FA"/>
          </w:tcPr>
          <w:p>
            <w:pPr>
              <w:spacing w:after="0"/>
            </w:pPr>
            <w:r/>
            <w:r>
              <w:rPr>
                <w:rFonts w:ascii="Aptos" w:hAnsi="Aptos"/>
                <w:b w:val="0"/>
                <w:color w:val="222222"/>
                <w:sz w:val="16"/>
              </w:rPr>
              <w:t>AI Act Art. 4 | S01, S04</w:t>
            </w:r>
          </w:p>
        </w:tc>
      </w:tr>
      <w:tr>
        <w:tc>
          <w:tcPr>
            <w:tcW w:type="dxa" w:w="4946"/>
            <w:tcMar>
              <w:top w:w="80" w:type="dxa"/>
              <w:start w:w="100" w:type="dxa"/>
              <w:bottom w:w="80" w:type="dxa"/>
              <w:end w:w="100" w:type="dxa"/>
            </w:tcMar>
            <w:vAlign w:val="center"/>
            <w:shd w:fill="2A6F6B"/>
          </w:tcPr>
          <w:p>
            <w:pPr>
              <w:spacing w:after="0"/>
            </w:pPr>
            <w:r/>
            <w:r>
              <w:rPr>
                <w:rFonts w:ascii="Aptos" w:hAnsi="Aptos"/>
                <w:b/>
                <w:color w:val="FFFFFF"/>
                <w:sz w:val="16"/>
              </w:rPr>
              <w:t>Applicability</w:t>
            </w:r>
          </w:p>
        </w:tc>
        <w:tc>
          <w:tcPr>
            <w:tcW w:type="dxa" w:w="4946"/>
            <w:tcMar>
              <w:top w:w="80" w:type="dxa"/>
              <w:start w:w="100" w:type="dxa"/>
              <w:bottom w:w="80" w:type="dxa"/>
              <w:end w:w="100" w:type="dxa"/>
            </w:tcMar>
            <w:vAlign w:val="center"/>
            <w:shd w:fill="FFFFFF"/>
          </w:tcPr>
          <w:p>
            <w:pPr>
              <w:spacing w:after="0"/>
            </w:pPr>
            <w:r/>
            <w:r>
              <w:rPr>
                <w:rFonts w:ascii="Aptos" w:hAnsi="Aptos"/>
                <w:b w:val="0"/>
                <w:color w:val="222222"/>
                <w:sz w:val="16"/>
              </w:rPr>
              <w:t>Applies broadly because Duckworks develops, procures and uses AI, including employee use of public GenAI. Measures should reflect role, experience, context and system risk.</w:t>
            </w:r>
          </w:p>
        </w:tc>
      </w:tr>
      <w:tr>
        <w:tc>
          <w:tcPr>
            <w:tcW w:type="dxa" w:w="4946"/>
            <w:tcMar>
              <w:top w:w="80" w:type="dxa"/>
              <w:start w:w="100" w:type="dxa"/>
              <w:bottom w:w="80" w:type="dxa"/>
              <w:end w:w="100" w:type="dxa"/>
            </w:tcMar>
            <w:vAlign w:val="center"/>
            <w:shd w:fill="2A6F6B"/>
          </w:tcPr>
          <w:p>
            <w:pPr>
              <w:spacing w:after="0"/>
            </w:pPr>
            <w:r/>
            <w:r>
              <w:rPr>
                <w:rFonts w:ascii="Aptos" w:hAnsi="Aptos"/>
                <w:b/>
                <w:color w:val="FFFFFF"/>
                <w:sz w:val="16"/>
              </w:rPr>
              <w:t>Timing / status</w:t>
            </w:r>
          </w:p>
        </w:tc>
        <w:tc>
          <w:tcPr>
            <w:tcW w:type="dxa" w:w="4946"/>
            <w:tcMar>
              <w:top w:w="80" w:type="dxa"/>
              <w:start w:w="100" w:type="dxa"/>
              <w:bottom w:w="80" w:type="dxa"/>
              <w:end w:w="100" w:type="dxa"/>
            </w:tcMar>
            <w:vAlign w:val="center"/>
            <w:shd w:fill="F7F9FA"/>
          </w:tcPr>
          <w:p>
            <w:pPr>
              <w:spacing w:after="0"/>
            </w:pPr>
            <w:r/>
            <w:r>
              <w:rPr>
                <w:rFonts w:ascii="Aptos" w:hAnsi="Aptos"/>
                <w:b w:val="0"/>
                <w:color w:val="222222"/>
                <w:sz w:val="16"/>
              </w:rPr>
              <w:t>Applicable since 2 Feb 2025; enforcement regime now active</w:t>
            </w:r>
          </w:p>
        </w:tc>
      </w:tr>
      <w:tr>
        <w:tc>
          <w:tcPr>
            <w:tcW w:type="dxa" w:w="4946"/>
            <w:tcMar>
              <w:top w:w="80" w:type="dxa"/>
              <w:start w:w="100" w:type="dxa"/>
              <w:bottom w:w="80" w:type="dxa"/>
              <w:end w:w="100" w:type="dxa"/>
            </w:tcMar>
            <w:vAlign w:val="center"/>
            <w:shd w:fill="2A6F6B"/>
          </w:tcPr>
          <w:p>
            <w:pPr>
              <w:spacing w:after="0"/>
            </w:pPr>
            <w:r/>
            <w:r>
              <w:rPr>
                <w:rFonts w:ascii="Aptos" w:hAnsi="Aptos"/>
                <w:b/>
                <w:color w:val="FFFFFF"/>
                <w:sz w:val="16"/>
              </w:rPr>
              <w:t>Uncertainty / action</w:t>
            </w:r>
          </w:p>
        </w:tc>
        <w:tc>
          <w:tcPr>
            <w:tcW w:type="dxa" w:w="4946"/>
            <w:tcMar>
              <w:top w:w="80" w:type="dxa"/>
              <w:start w:w="100" w:type="dxa"/>
              <w:bottom w:w="80" w:type="dxa"/>
              <w:end w:w="100" w:type="dxa"/>
            </w:tcMar>
            <w:vAlign w:val="center"/>
            <w:shd w:fill="FFFFFF"/>
          </w:tcPr>
          <w:p>
            <w:pPr>
              <w:spacing w:after="0"/>
            </w:pPr>
            <w:r/>
            <w:r>
              <w:rPr>
                <w:rFonts w:ascii="Aptos" w:hAnsi="Aptos"/>
                <w:b w:val="0"/>
                <w:color w:val="222222"/>
                <w:sz w:val="16"/>
              </w:rPr>
              <w:t>Uncertainty: Medium.  Duckworks action: Implement role-based AI literacy; retain training/guidance records. No specific certificate, AI officer or governance board is mandated by Art. 4.</w:t>
            </w:r>
          </w:p>
        </w:tc>
      </w:tr>
    </w:tbl>
    <w:p>
      <w:pPr>
        <w:spacing w:after="20"/>
      </w:pPr>
    </w:p>
    <w:p>
      <w:pPr>
        <w:keepNext/>
        <w:spacing w:before="100" w:after="40"/>
      </w:pPr>
      <w:r>
        <w:rPr>
          <w:b/>
          <w:color w:val="17324D"/>
          <w:sz w:val="21"/>
        </w:rPr>
        <w:t>L-04  Every use case should be screened against prohibited AI practices.</w:t>
      </w:r>
    </w:p>
    <w:tbl>
      <w:tblPr>
        <w:tblW w:type="auto" w:w="0"/>
        <w:jc w:val="center"/>
        <w:tblLayout w:type="fixed"/>
        <w:tblLook w:firstColumn="1" w:firstRow="1" w:lastColumn="0" w:lastRow="0" w:noHBand="0" w:noVBand="1" w:val="04A0"/>
      </w:tblPr>
      <w:tblGrid>
        <w:gridCol w:w="1944"/>
        <w:gridCol w:w="8280"/>
      </w:tblGrid>
      <w:tr>
        <w:tc>
          <w:tcPr>
            <w:tcW w:type="dxa" w:w="4946"/>
            <w:tcMar>
              <w:top w:w="80" w:type="dxa"/>
              <w:start w:w="100" w:type="dxa"/>
              <w:bottom w:w="80" w:type="dxa"/>
              <w:end w:w="100" w:type="dxa"/>
            </w:tcMar>
            <w:vAlign w:val="center"/>
            <w:shd w:fill="2A6F6B"/>
          </w:tcPr>
          <w:p>
            <w:pPr>
              <w:spacing w:after="0"/>
            </w:pPr>
            <w:r/>
            <w:r>
              <w:rPr>
                <w:rFonts w:ascii="Aptos" w:hAnsi="Aptos"/>
                <w:b/>
                <w:color w:val="FFFFFF"/>
                <w:sz w:val="16"/>
              </w:rPr>
              <w:t>Classification</w:t>
            </w:r>
          </w:p>
        </w:tc>
        <w:tc>
          <w:tcPr>
            <w:tcW w:type="dxa" w:w="4946"/>
            <w:tcMar>
              <w:top w:w="80" w:type="dxa"/>
              <w:start w:w="100" w:type="dxa"/>
              <w:bottom w:w="80" w:type="dxa"/>
              <w:end w:w="100" w:type="dxa"/>
            </w:tcMar>
            <w:vAlign w:val="center"/>
            <w:shd w:fill="FFFFFF"/>
          </w:tcPr>
          <w:p>
            <w:pPr>
              <w:spacing w:after="0"/>
            </w:pPr>
            <w:r/>
            <w:r>
              <w:rPr>
                <w:rFonts w:ascii="Aptos" w:hAnsi="Aptos"/>
                <w:b w:val="0"/>
                <w:color w:val="222222"/>
                <w:sz w:val="16"/>
              </w:rPr>
              <w:t>Mandatory legal requirement</w:t>
            </w:r>
          </w:p>
        </w:tc>
      </w:tr>
      <w:tr>
        <w:tc>
          <w:tcPr>
            <w:tcW w:type="dxa" w:w="4946"/>
            <w:tcMar>
              <w:top w:w="80" w:type="dxa"/>
              <w:start w:w="100" w:type="dxa"/>
              <w:bottom w:w="80" w:type="dxa"/>
              <w:end w:w="100" w:type="dxa"/>
            </w:tcMar>
            <w:vAlign w:val="center"/>
            <w:shd w:fill="2A6F6B"/>
          </w:tcPr>
          <w:p>
            <w:pPr>
              <w:spacing w:after="0"/>
            </w:pPr>
            <w:r/>
            <w:r>
              <w:rPr>
                <w:rFonts w:ascii="Aptos" w:hAnsi="Aptos"/>
                <w:b/>
                <w:color w:val="FFFFFF"/>
                <w:sz w:val="16"/>
              </w:rPr>
              <w:t>Source / provision</w:t>
            </w:r>
          </w:p>
        </w:tc>
        <w:tc>
          <w:tcPr>
            <w:tcW w:type="dxa" w:w="4946"/>
            <w:tcMar>
              <w:top w:w="80" w:type="dxa"/>
              <w:start w:w="100" w:type="dxa"/>
              <w:bottom w:w="80" w:type="dxa"/>
              <w:end w:w="100" w:type="dxa"/>
            </w:tcMar>
            <w:vAlign w:val="center"/>
            <w:shd w:fill="F7F9FA"/>
          </w:tcPr>
          <w:p>
            <w:pPr>
              <w:spacing w:after="0"/>
            </w:pPr>
            <w:r/>
            <w:r>
              <w:rPr>
                <w:rFonts w:ascii="Aptos" w:hAnsi="Aptos"/>
                <w:b w:val="0"/>
                <w:color w:val="222222"/>
                <w:sz w:val="16"/>
              </w:rPr>
              <w:t>AI Act Art. 5 | S01, S08, S03</w:t>
            </w:r>
          </w:p>
        </w:tc>
      </w:tr>
      <w:tr>
        <w:tc>
          <w:tcPr>
            <w:tcW w:type="dxa" w:w="4946"/>
            <w:tcMar>
              <w:top w:w="80" w:type="dxa"/>
              <w:start w:w="100" w:type="dxa"/>
              <w:bottom w:w="80" w:type="dxa"/>
              <w:end w:w="100" w:type="dxa"/>
            </w:tcMar>
            <w:vAlign w:val="center"/>
            <w:shd w:fill="2A6F6B"/>
          </w:tcPr>
          <w:p>
            <w:pPr>
              <w:spacing w:after="0"/>
            </w:pPr>
            <w:r/>
            <w:r>
              <w:rPr>
                <w:rFonts w:ascii="Aptos" w:hAnsi="Aptos"/>
                <w:b/>
                <w:color w:val="FFFFFF"/>
                <w:sz w:val="16"/>
              </w:rPr>
              <w:t>Applicability</w:t>
            </w:r>
          </w:p>
        </w:tc>
        <w:tc>
          <w:tcPr>
            <w:tcW w:type="dxa" w:w="4946"/>
            <w:tcMar>
              <w:top w:w="80" w:type="dxa"/>
              <w:start w:w="100" w:type="dxa"/>
              <w:bottom w:w="80" w:type="dxa"/>
              <w:end w:w="100" w:type="dxa"/>
            </w:tcMar>
            <w:vAlign w:val="center"/>
            <w:shd w:fill="FFFFFF"/>
          </w:tcPr>
          <w:p>
            <w:pPr>
              <w:spacing w:after="0"/>
            </w:pPr>
            <w:r/>
            <w:r>
              <w:rPr>
                <w:rFonts w:ascii="Aptos" w:hAnsi="Aptos"/>
                <w:b w:val="0"/>
                <w:color w:val="222222"/>
                <w:sz w:val="16"/>
              </w:rPr>
              <w:t>No current Duckworks use case is clearly prohibited on the stated facts. Future workplace emotion-recognition or other prohibited functionality would change the conclusion.</w:t>
            </w:r>
          </w:p>
        </w:tc>
      </w:tr>
      <w:tr>
        <w:tc>
          <w:tcPr>
            <w:tcW w:type="dxa" w:w="4946"/>
            <w:tcMar>
              <w:top w:w="80" w:type="dxa"/>
              <w:start w:w="100" w:type="dxa"/>
              <w:bottom w:w="80" w:type="dxa"/>
              <w:end w:w="100" w:type="dxa"/>
            </w:tcMar>
            <w:vAlign w:val="center"/>
            <w:shd w:fill="2A6F6B"/>
          </w:tcPr>
          <w:p>
            <w:pPr>
              <w:spacing w:after="0"/>
            </w:pPr>
            <w:r/>
            <w:r>
              <w:rPr>
                <w:rFonts w:ascii="Aptos" w:hAnsi="Aptos"/>
                <w:b/>
                <w:color w:val="FFFFFF"/>
                <w:sz w:val="16"/>
              </w:rPr>
              <w:t>Timing / status</w:t>
            </w:r>
          </w:p>
        </w:tc>
        <w:tc>
          <w:tcPr>
            <w:tcW w:type="dxa" w:w="4946"/>
            <w:tcMar>
              <w:top w:w="80" w:type="dxa"/>
              <w:start w:w="100" w:type="dxa"/>
              <w:bottom w:w="80" w:type="dxa"/>
              <w:end w:w="100" w:type="dxa"/>
            </w:tcMar>
            <w:vAlign w:val="center"/>
            <w:shd w:fill="F7F9FA"/>
          </w:tcPr>
          <w:p>
            <w:pPr>
              <w:spacing w:after="0"/>
            </w:pPr>
            <w:r/>
            <w:r>
              <w:rPr>
                <w:rFonts w:ascii="Aptos" w:hAnsi="Aptos"/>
                <w:b w:val="0"/>
                <w:color w:val="222222"/>
                <w:sz w:val="16"/>
              </w:rPr>
              <w:t>Current; prohibitions 1-8 applicable since 2 Feb 2025; additional 2026 prohibition applies from Dec 2026</w:t>
            </w:r>
          </w:p>
        </w:tc>
      </w:tr>
      <w:tr>
        <w:tc>
          <w:tcPr>
            <w:tcW w:type="dxa" w:w="4946"/>
            <w:tcMar>
              <w:top w:w="80" w:type="dxa"/>
              <w:start w:w="100" w:type="dxa"/>
              <w:bottom w:w="80" w:type="dxa"/>
              <w:end w:w="100" w:type="dxa"/>
            </w:tcMar>
            <w:vAlign w:val="center"/>
            <w:shd w:fill="2A6F6B"/>
          </w:tcPr>
          <w:p>
            <w:pPr>
              <w:spacing w:after="0"/>
            </w:pPr>
            <w:r/>
            <w:r>
              <w:rPr>
                <w:rFonts w:ascii="Aptos" w:hAnsi="Aptos"/>
                <w:b/>
                <w:color w:val="FFFFFF"/>
                <w:sz w:val="16"/>
              </w:rPr>
              <w:t>Uncertainty / action</w:t>
            </w:r>
          </w:p>
        </w:tc>
        <w:tc>
          <w:tcPr>
            <w:tcW w:type="dxa" w:w="4946"/>
            <w:tcMar>
              <w:top w:w="80" w:type="dxa"/>
              <w:start w:w="100" w:type="dxa"/>
              <w:bottom w:w="80" w:type="dxa"/>
              <w:end w:w="100" w:type="dxa"/>
            </w:tcMar>
            <w:vAlign w:val="center"/>
            <w:shd w:fill="FFFFFF"/>
          </w:tcPr>
          <w:p>
            <w:pPr>
              <w:spacing w:after="0"/>
            </w:pPr>
            <w:r/>
            <w:r>
              <w:rPr>
                <w:rFonts w:ascii="Aptos" w:hAnsi="Aptos"/>
                <w:b w:val="0"/>
                <w:color w:val="222222"/>
                <w:sz w:val="16"/>
              </w:rPr>
              <w:t>Uncertainty: High.  Duckworks action: Include prohibited-practice screening as a mandatory intake gate and significant-change trigger.</w:t>
            </w:r>
          </w:p>
        </w:tc>
      </w:tr>
    </w:tbl>
    <w:p>
      <w:pPr>
        <w:spacing w:after="20"/>
      </w:pPr>
    </w:p>
    <w:p>
      <w:pPr>
        <w:keepNext/>
        <w:spacing w:before="100" w:after="40"/>
      </w:pPr>
      <w:r>
        <w:rPr>
          <w:b/>
          <w:color w:val="17324D"/>
          <w:sz w:val="21"/>
        </w:rPr>
        <w:t>L-05  QuackBot likely requires clear disclosure that the customer is interacting with AI.</w:t>
      </w:r>
    </w:p>
    <w:tbl>
      <w:tblPr>
        <w:tblW w:type="auto" w:w="0"/>
        <w:jc w:val="center"/>
        <w:tblLayout w:type="fixed"/>
        <w:tblLook w:firstColumn="1" w:firstRow="1" w:lastColumn="0" w:lastRow="0" w:noHBand="0" w:noVBand="1" w:val="04A0"/>
      </w:tblPr>
      <w:tblGrid>
        <w:gridCol w:w="1944"/>
        <w:gridCol w:w="8280"/>
      </w:tblGrid>
      <w:tr>
        <w:tc>
          <w:tcPr>
            <w:tcW w:type="dxa" w:w="4946"/>
            <w:tcMar>
              <w:top w:w="80" w:type="dxa"/>
              <w:start w:w="100" w:type="dxa"/>
              <w:bottom w:w="80" w:type="dxa"/>
              <w:end w:w="100" w:type="dxa"/>
            </w:tcMar>
            <w:vAlign w:val="center"/>
            <w:shd w:fill="2A6F6B"/>
          </w:tcPr>
          <w:p>
            <w:pPr>
              <w:spacing w:after="0"/>
            </w:pPr>
            <w:r/>
            <w:r>
              <w:rPr>
                <w:rFonts w:ascii="Aptos" w:hAnsi="Aptos"/>
                <w:b/>
                <w:color w:val="FFFFFF"/>
                <w:sz w:val="16"/>
              </w:rPr>
              <w:t>Classification</w:t>
            </w:r>
          </w:p>
        </w:tc>
        <w:tc>
          <w:tcPr>
            <w:tcW w:type="dxa" w:w="4946"/>
            <w:tcMar>
              <w:top w:w="80" w:type="dxa"/>
              <w:start w:w="100" w:type="dxa"/>
              <w:bottom w:w="80" w:type="dxa"/>
              <w:end w:w="100" w:type="dxa"/>
            </w:tcMar>
            <w:vAlign w:val="center"/>
            <w:shd w:fill="FFFFFF"/>
          </w:tcPr>
          <w:p>
            <w:pPr>
              <w:spacing w:after="0"/>
            </w:pPr>
            <w:r/>
            <w:r>
              <w:rPr>
                <w:rFonts w:ascii="Aptos" w:hAnsi="Aptos"/>
                <w:b w:val="0"/>
                <w:color w:val="222222"/>
                <w:sz w:val="16"/>
              </w:rPr>
              <w:t>Mandatory legal requirement</w:t>
            </w:r>
          </w:p>
        </w:tc>
      </w:tr>
      <w:tr>
        <w:tc>
          <w:tcPr>
            <w:tcW w:type="dxa" w:w="4946"/>
            <w:tcMar>
              <w:top w:w="80" w:type="dxa"/>
              <w:start w:w="100" w:type="dxa"/>
              <w:bottom w:w="80" w:type="dxa"/>
              <w:end w:w="100" w:type="dxa"/>
            </w:tcMar>
            <w:vAlign w:val="center"/>
            <w:shd w:fill="2A6F6B"/>
          </w:tcPr>
          <w:p>
            <w:pPr>
              <w:spacing w:after="0"/>
            </w:pPr>
            <w:r/>
            <w:r>
              <w:rPr>
                <w:rFonts w:ascii="Aptos" w:hAnsi="Aptos"/>
                <w:b/>
                <w:color w:val="FFFFFF"/>
                <w:sz w:val="16"/>
              </w:rPr>
              <w:t>Source / provision</w:t>
            </w:r>
          </w:p>
        </w:tc>
        <w:tc>
          <w:tcPr>
            <w:tcW w:type="dxa" w:w="4946"/>
            <w:tcMar>
              <w:top w:w="80" w:type="dxa"/>
              <w:start w:w="100" w:type="dxa"/>
              <w:bottom w:w="80" w:type="dxa"/>
              <w:end w:w="100" w:type="dxa"/>
            </w:tcMar>
            <w:vAlign w:val="center"/>
            <w:shd w:fill="F7F9FA"/>
          </w:tcPr>
          <w:p>
            <w:pPr>
              <w:spacing w:after="0"/>
            </w:pPr>
            <w:r/>
            <w:r>
              <w:rPr>
                <w:rFonts w:ascii="Aptos" w:hAnsi="Aptos"/>
                <w:b w:val="0"/>
                <w:color w:val="222222"/>
                <w:sz w:val="16"/>
              </w:rPr>
              <w:t>AI Act Art. 50(1) | S01, S05</w:t>
            </w:r>
          </w:p>
        </w:tc>
      </w:tr>
      <w:tr>
        <w:tc>
          <w:tcPr>
            <w:tcW w:type="dxa" w:w="4946"/>
            <w:tcMar>
              <w:top w:w="80" w:type="dxa"/>
              <w:start w:w="100" w:type="dxa"/>
              <w:bottom w:w="80" w:type="dxa"/>
              <w:end w:w="100" w:type="dxa"/>
            </w:tcMar>
            <w:vAlign w:val="center"/>
            <w:shd w:fill="2A6F6B"/>
          </w:tcPr>
          <w:p>
            <w:pPr>
              <w:spacing w:after="0"/>
            </w:pPr>
            <w:r/>
            <w:r>
              <w:rPr>
                <w:rFonts w:ascii="Aptos" w:hAnsi="Aptos"/>
                <w:b/>
                <w:color w:val="FFFFFF"/>
                <w:sz w:val="16"/>
              </w:rPr>
              <w:t>Applicability</w:t>
            </w:r>
          </w:p>
        </w:tc>
        <w:tc>
          <w:tcPr>
            <w:tcW w:type="dxa" w:w="4946"/>
            <w:tcMar>
              <w:top w:w="80" w:type="dxa"/>
              <w:start w:w="100" w:type="dxa"/>
              <w:bottom w:w="80" w:type="dxa"/>
              <w:end w:w="100" w:type="dxa"/>
            </w:tcMar>
            <w:vAlign w:val="center"/>
            <w:shd w:fill="FFFFFF"/>
          </w:tcPr>
          <w:p>
            <w:pPr>
              <w:spacing w:after="0"/>
            </w:pPr>
            <w:r/>
            <w:r>
              <w:rPr>
                <w:rFonts w:ascii="Aptos" w:hAnsi="Aptos"/>
                <w:b w:val="0"/>
                <w:color w:val="222222"/>
                <w:sz w:val="16"/>
              </w:rPr>
              <w:t>QuackBot is intended to interact directly with natural persons. Provider/deployer role must be confirmed, but explicit disclosure is the most defensible implementation.</w:t>
            </w:r>
          </w:p>
        </w:tc>
      </w:tr>
      <w:tr>
        <w:tc>
          <w:tcPr>
            <w:tcW w:type="dxa" w:w="4946"/>
            <w:tcMar>
              <w:top w:w="80" w:type="dxa"/>
              <w:start w:w="100" w:type="dxa"/>
              <w:bottom w:w="80" w:type="dxa"/>
              <w:end w:w="100" w:type="dxa"/>
            </w:tcMar>
            <w:vAlign w:val="center"/>
            <w:shd w:fill="2A6F6B"/>
          </w:tcPr>
          <w:p>
            <w:pPr>
              <w:spacing w:after="0"/>
            </w:pPr>
            <w:r/>
            <w:r>
              <w:rPr>
                <w:rFonts w:ascii="Aptos" w:hAnsi="Aptos"/>
                <w:b/>
                <w:color w:val="FFFFFF"/>
                <w:sz w:val="16"/>
              </w:rPr>
              <w:t>Timing / status</w:t>
            </w:r>
          </w:p>
        </w:tc>
        <w:tc>
          <w:tcPr>
            <w:tcW w:type="dxa" w:w="4946"/>
            <w:tcMar>
              <w:top w:w="80" w:type="dxa"/>
              <w:start w:w="100" w:type="dxa"/>
              <w:bottom w:w="80" w:type="dxa"/>
              <w:end w:w="100" w:type="dxa"/>
            </w:tcMar>
            <w:vAlign w:val="center"/>
            <w:shd w:fill="F7F9FA"/>
          </w:tcPr>
          <w:p>
            <w:pPr>
              <w:spacing w:after="0"/>
            </w:pPr>
            <w:r/>
            <w:r>
              <w:rPr>
                <w:rFonts w:ascii="Aptos" w:hAnsi="Aptos"/>
                <w:b w:val="0"/>
                <w:color w:val="222222"/>
                <w:sz w:val="16"/>
              </w:rPr>
              <w:t>Applicable from 2 Aug 2026</w:t>
            </w:r>
          </w:p>
        </w:tc>
      </w:tr>
      <w:tr>
        <w:tc>
          <w:tcPr>
            <w:tcW w:type="dxa" w:w="4946"/>
            <w:tcMar>
              <w:top w:w="80" w:type="dxa"/>
              <w:start w:w="100" w:type="dxa"/>
              <w:bottom w:w="80" w:type="dxa"/>
              <w:end w:w="100" w:type="dxa"/>
            </w:tcMar>
            <w:vAlign w:val="center"/>
            <w:shd w:fill="2A6F6B"/>
          </w:tcPr>
          <w:p>
            <w:pPr>
              <w:spacing w:after="0"/>
            </w:pPr>
            <w:r/>
            <w:r>
              <w:rPr>
                <w:rFonts w:ascii="Aptos" w:hAnsi="Aptos"/>
                <w:b/>
                <w:color w:val="FFFFFF"/>
                <w:sz w:val="16"/>
              </w:rPr>
              <w:t>Uncertainty / action</w:t>
            </w:r>
          </w:p>
        </w:tc>
        <w:tc>
          <w:tcPr>
            <w:tcW w:type="dxa" w:w="4946"/>
            <w:tcMar>
              <w:top w:w="80" w:type="dxa"/>
              <w:start w:w="100" w:type="dxa"/>
              <w:bottom w:w="80" w:type="dxa"/>
              <w:end w:w="100" w:type="dxa"/>
            </w:tcMar>
            <w:vAlign w:val="center"/>
            <w:shd w:fill="FFFFFF"/>
          </w:tcPr>
          <w:p>
            <w:pPr>
              <w:spacing w:after="0"/>
            </w:pPr>
            <w:r/>
            <w:r>
              <w:rPr>
                <w:rFonts w:ascii="Aptos" w:hAnsi="Aptos"/>
                <w:b w:val="0"/>
                <w:color w:val="222222"/>
                <w:sz w:val="16"/>
              </w:rPr>
              <w:t>Uncertainty: Medium.  Duckworks action: Add persistent, accessible AI-interaction disclosure and test it in release acceptance criteria.</w:t>
            </w:r>
          </w:p>
        </w:tc>
      </w:tr>
    </w:tbl>
    <w:p>
      <w:pPr>
        <w:spacing w:after="20"/>
      </w:pPr>
    </w:p>
    <w:p>
      <w:pPr>
        <w:keepNext/>
        <w:spacing w:before="100" w:after="40"/>
      </w:pPr>
      <w:r>
        <w:rPr>
          <w:b/>
          <w:color w:val="17324D"/>
          <w:sz w:val="21"/>
        </w:rPr>
        <w:t>L-06  PondGPT may fall under direct-interaction transparency requirements.</w:t>
      </w:r>
    </w:p>
    <w:tbl>
      <w:tblPr>
        <w:tblW w:type="auto" w:w="0"/>
        <w:jc w:val="center"/>
        <w:tblLayout w:type="fixed"/>
        <w:tblLook w:firstColumn="1" w:firstRow="1" w:lastColumn="0" w:lastRow="0" w:noHBand="0" w:noVBand="1" w:val="04A0"/>
      </w:tblPr>
      <w:tblGrid>
        <w:gridCol w:w="1944"/>
        <w:gridCol w:w="8280"/>
      </w:tblGrid>
      <w:tr>
        <w:tc>
          <w:tcPr>
            <w:tcW w:type="dxa" w:w="4946"/>
            <w:tcMar>
              <w:top w:w="80" w:type="dxa"/>
              <w:start w:w="100" w:type="dxa"/>
              <w:bottom w:w="80" w:type="dxa"/>
              <w:end w:w="100" w:type="dxa"/>
            </w:tcMar>
            <w:vAlign w:val="center"/>
            <w:shd w:fill="2A6F6B"/>
          </w:tcPr>
          <w:p>
            <w:pPr>
              <w:spacing w:after="0"/>
            </w:pPr>
            <w:r/>
            <w:r>
              <w:rPr>
                <w:rFonts w:ascii="Aptos" w:hAnsi="Aptos"/>
                <w:b/>
                <w:color w:val="FFFFFF"/>
                <w:sz w:val="16"/>
              </w:rPr>
              <w:t>Classification</w:t>
            </w:r>
          </w:p>
        </w:tc>
        <w:tc>
          <w:tcPr>
            <w:tcW w:type="dxa" w:w="4946"/>
            <w:tcMar>
              <w:top w:w="80" w:type="dxa"/>
              <w:start w:w="100" w:type="dxa"/>
              <w:bottom w:w="80" w:type="dxa"/>
              <w:end w:w="100" w:type="dxa"/>
            </w:tcMar>
            <w:vAlign w:val="center"/>
            <w:shd w:fill="FFFFFF"/>
          </w:tcPr>
          <w:p>
            <w:pPr>
              <w:spacing w:after="0"/>
            </w:pPr>
            <w:r/>
            <w:r>
              <w:rPr>
                <w:rFonts w:ascii="Aptos" w:hAnsi="Aptos"/>
                <w:b w:val="0"/>
                <w:color w:val="222222"/>
                <w:sz w:val="16"/>
              </w:rPr>
              <w:t>Conditional mandatory requirement</w:t>
            </w:r>
          </w:p>
        </w:tc>
      </w:tr>
      <w:tr>
        <w:tc>
          <w:tcPr>
            <w:tcW w:type="dxa" w:w="4946"/>
            <w:tcMar>
              <w:top w:w="80" w:type="dxa"/>
              <w:start w:w="100" w:type="dxa"/>
              <w:bottom w:w="80" w:type="dxa"/>
              <w:end w:w="100" w:type="dxa"/>
            </w:tcMar>
            <w:vAlign w:val="center"/>
            <w:shd w:fill="2A6F6B"/>
          </w:tcPr>
          <w:p>
            <w:pPr>
              <w:spacing w:after="0"/>
            </w:pPr>
            <w:r/>
            <w:r>
              <w:rPr>
                <w:rFonts w:ascii="Aptos" w:hAnsi="Aptos"/>
                <w:b/>
                <w:color w:val="FFFFFF"/>
                <w:sz w:val="16"/>
              </w:rPr>
              <w:t>Source / provision</w:t>
            </w:r>
          </w:p>
        </w:tc>
        <w:tc>
          <w:tcPr>
            <w:tcW w:type="dxa" w:w="4946"/>
            <w:tcMar>
              <w:top w:w="80" w:type="dxa"/>
              <w:start w:w="100" w:type="dxa"/>
              <w:bottom w:w="80" w:type="dxa"/>
              <w:end w:w="100" w:type="dxa"/>
            </w:tcMar>
            <w:vAlign w:val="center"/>
            <w:shd w:fill="F7F9FA"/>
          </w:tcPr>
          <w:p>
            <w:pPr>
              <w:spacing w:after="0"/>
            </w:pPr>
            <w:r/>
            <w:r>
              <w:rPr>
                <w:rFonts w:ascii="Aptos" w:hAnsi="Aptos"/>
                <w:b w:val="0"/>
                <w:color w:val="222222"/>
                <w:sz w:val="16"/>
              </w:rPr>
              <w:t>AI Act Art. 50(1) | S01, S05</w:t>
            </w:r>
          </w:p>
        </w:tc>
      </w:tr>
      <w:tr>
        <w:tc>
          <w:tcPr>
            <w:tcW w:type="dxa" w:w="4946"/>
            <w:tcMar>
              <w:top w:w="80" w:type="dxa"/>
              <w:start w:w="100" w:type="dxa"/>
              <w:bottom w:w="80" w:type="dxa"/>
              <w:end w:w="100" w:type="dxa"/>
            </w:tcMar>
            <w:vAlign w:val="center"/>
            <w:shd w:fill="2A6F6B"/>
          </w:tcPr>
          <w:p>
            <w:pPr>
              <w:spacing w:after="0"/>
            </w:pPr>
            <w:r/>
            <w:r>
              <w:rPr>
                <w:rFonts w:ascii="Aptos" w:hAnsi="Aptos"/>
                <w:b/>
                <w:color w:val="FFFFFF"/>
                <w:sz w:val="16"/>
              </w:rPr>
              <w:t>Applicability</w:t>
            </w:r>
          </w:p>
        </w:tc>
        <w:tc>
          <w:tcPr>
            <w:tcW w:type="dxa" w:w="4946"/>
            <w:tcMar>
              <w:top w:w="80" w:type="dxa"/>
              <w:start w:w="100" w:type="dxa"/>
              <w:bottom w:w="80" w:type="dxa"/>
              <w:end w:w="100" w:type="dxa"/>
            </w:tcMar>
            <w:vAlign w:val="center"/>
            <w:shd w:fill="FFFFFF"/>
          </w:tcPr>
          <w:p>
            <w:pPr>
              <w:spacing w:after="0"/>
            </w:pPr>
            <w:r/>
            <w:r>
              <w:rPr>
                <w:rFonts w:ascii="Aptos" w:hAnsi="Aptos"/>
                <w:b w:val="0"/>
                <w:color w:val="222222"/>
                <w:sz w:val="16"/>
              </w:rPr>
              <w:t>Relevant when employees interact directly with PondGPT and Duckworks is legally the provider. The exception where interaction with AI is obvious may be relevant but should not be assumed without rationale.</w:t>
            </w:r>
          </w:p>
        </w:tc>
      </w:tr>
      <w:tr>
        <w:tc>
          <w:tcPr>
            <w:tcW w:type="dxa" w:w="4946"/>
            <w:tcMar>
              <w:top w:w="80" w:type="dxa"/>
              <w:start w:w="100" w:type="dxa"/>
              <w:bottom w:w="80" w:type="dxa"/>
              <w:end w:w="100" w:type="dxa"/>
            </w:tcMar>
            <w:vAlign w:val="center"/>
            <w:shd w:fill="2A6F6B"/>
          </w:tcPr>
          <w:p>
            <w:pPr>
              <w:spacing w:after="0"/>
            </w:pPr>
            <w:r/>
            <w:r>
              <w:rPr>
                <w:rFonts w:ascii="Aptos" w:hAnsi="Aptos"/>
                <w:b/>
                <w:color w:val="FFFFFF"/>
                <w:sz w:val="16"/>
              </w:rPr>
              <w:t>Timing / status</w:t>
            </w:r>
          </w:p>
        </w:tc>
        <w:tc>
          <w:tcPr>
            <w:tcW w:type="dxa" w:w="4946"/>
            <w:tcMar>
              <w:top w:w="80" w:type="dxa"/>
              <w:start w:w="100" w:type="dxa"/>
              <w:bottom w:w="80" w:type="dxa"/>
              <w:end w:w="100" w:type="dxa"/>
            </w:tcMar>
            <w:vAlign w:val="center"/>
            <w:shd w:fill="F7F9FA"/>
          </w:tcPr>
          <w:p>
            <w:pPr>
              <w:spacing w:after="0"/>
            </w:pPr>
            <w:r/>
            <w:r>
              <w:rPr>
                <w:rFonts w:ascii="Aptos" w:hAnsi="Aptos"/>
                <w:b w:val="0"/>
                <w:color w:val="222222"/>
                <w:sz w:val="16"/>
              </w:rPr>
              <w:t>Applicable from 2 Aug 2026</w:t>
            </w:r>
          </w:p>
        </w:tc>
      </w:tr>
      <w:tr>
        <w:tc>
          <w:tcPr>
            <w:tcW w:type="dxa" w:w="4946"/>
            <w:tcMar>
              <w:top w:w="80" w:type="dxa"/>
              <w:start w:w="100" w:type="dxa"/>
              <w:bottom w:w="80" w:type="dxa"/>
              <w:end w:w="100" w:type="dxa"/>
            </w:tcMar>
            <w:vAlign w:val="center"/>
            <w:shd w:fill="2A6F6B"/>
          </w:tcPr>
          <w:p>
            <w:pPr>
              <w:spacing w:after="0"/>
            </w:pPr>
            <w:r/>
            <w:r>
              <w:rPr>
                <w:rFonts w:ascii="Aptos" w:hAnsi="Aptos"/>
                <w:b/>
                <w:color w:val="FFFFFF"/>
                <w:sz w:val="16"/>
              </w:rPr>
              <w:t>Uncertainty / action</w:t>
            </w:r>
          </w:p>
        </w:tc>
        <w:tc>
          <w:tcPr>
            <w:tcW w:type="dxa" w:w="4946"/>
            <w:tcMar>
              <w:top w:w="80" w:type="dxa"/>
              <w:start w:w="100" w:type="dxa"/>
              <w:bottom w:w="80" w:type="dxa"/>
              <w:end w:w="100" w:type="dxa"/>
            </w:tcMar>
            <w:vAlign w:val="center"/>
            <w:shd w:fill="FFFFFF"/>
          </w:tcPr>
          <w:p>
            <w:pPr>
              <w:spacing w:after="0"/>
            </w:pPr>
            <w:r/>
            <w:r>
              <w:rPr>
                <w:rFonts w:ascii="Aptos" w:hAnsi="Aptos"/>
                <w:b w:val="0"/>
                <w:color w:val="222222"/>
                <w:sz w:val="16"/>
              </w:rPr>
              <w:t>Uncertainty: Medium.  Duckworks action: Document the Art. 50 analysis; use explicit internal disclosure unless Legal determines the obvious-interaction exception is safely relied upon.</w:t>
            </w:r>
          </w:p>
        </w:tc>
      </w:tr>
    </w:tbl>
    <w:p>
      <w:pPr>
        <w:spacing w:after="20"/>
      </w:pPr>
    </w:p>
    <w:p>
      <w:pPr>
        <w:keepNext/>
        <w:spacing w:before="100" w:after="40"/>
      </w:pPr>
      <w:r>
        <w:rPr>
          <w:b/>
          <w:color w:val="17324D"/>
          <w:sz w:val="21"/>
        </w:rPr>
        <w:t>L-07  Providers of qualifying generative AI systems can have machine-readable marking/detection obligations for synthetic content.</w:t>
      </w:r>
    </w:p>
    <w:tbl>
      <w:tblPr>
        <w:tblW w:type="auto" w:w="0"/>
        <w:jc w:val="center"/>
        <w:tblLayout w:type="fixed"/>
        <w:tblLook w:firstColumn="1" w:firstRow="1" w:lastColumn="0" w:lastRow="0" w:noHBand="0" w:noVBand="1" w:val="04A0"/>
      </w:tblPr>
      <w:tblGrid>
        <w:gridCol w:w="1944"/>
        <w:gridCol w:w="8280"/>
      </w:tblGrid>
      <w:tr>
        <w:tc>
          <w:tcPr>
            <w:tcW w:type="dxa" w:w="4946"/>
            <w:tcMar>
              <w:top w:w="80" w:type="dxa"/>
              <w:start w:w="100" w:type="dxa"/>
              <w:bottom w:w="80" w:type="dxa"/>
              <w:end w:w="100" w:type="dxa"/>
            </w:tcMar>
            <w:vAlign w:val="center"/>
            <w:shd w:fill="2A6F6B"/>
          </w:tcPr>
          <w:p>
            <w:pPr>
              <w:spacing w:after="0"/>
            </w:pPr>
            <w:r/>
            <w:r>
              <w:rPr>
                <w:rFonts w:ascii="Aptos" w:hAnsi="Aptos"/>
                <w:b/>
                <w:color w:val="FFFFFF"/>
                <w:sz w:val="16"/>
              </w:rPr>
              <w:t>Classification</w:t>
            </w:r>
          </w:p>
        </w:tc>
        <w:tc>
          <w:tcPr>
            <w:tcW w:type="dxa" w:w="4946"/>
            <w:tcMar>
              <w:top w:w="80" w:type="dxa"/>
              <w:start w:w="100" w:type="dxa"/>
              <w:bottom w:w="80" w:type="dxa"/>
              <w:end w:w="100" w:type="dxa"/>
            </w:tcMar>
            <w:vAlign w:val="center"/>
            <w:shd w:fill="FFFFFF"/>
          </w:tcPr>
          <w:p>
            <w:pPr>
              <w:spacing w:after="0"/>
            </w:pPr>
            <w:r/>
            <w:r>
              <w:rPr>
                <w:rFonts w:ascii="Aptos" w:hAnsi="Aptos"/>
                <w:b w:val="0"/>
                <w:color w:val="222222"/>
                <w:sz w:val="16"/>
              </w:rPr>
              <w:t>Conditional mandatory requirement</w:t>
            </w:r>
          </w:p>
        </w:tc>
      </w:tr>
      <w:tr>
        <w:tc>
          <w:tcPr>
            <w:tcW w:type="dxa" w:w="4946"/>
            <w:tcMar>
              <w:top w:w="80" w:type="dxa"/>
              <w:start w:w="100" w:type="dxa"/>
              <w:bottom w:w="80" w:type="dxa"/>
              <w:end w:w="100" w:type="dxa"/>
            </w:tcMar>
            <w:vAlign w:val="center"/>
            <w:shd w:fill="2A6F6B"/>
          </w:tcPr>
          <w:p>
            <w:pPr>
              <w:spacing w:after="0"/>
            </w:pPr>
            <w:r/>
            <w:r>
              <w:rPr>
                <w:rFonts w:ascii="Aptos" w:hAnsi="Aptos"/>
                <w:b/>
                <w:color w:val="FFFFFF"/>
                <w:sz w:val="16"/>
              </w:rPr>
              <w:t>Source / provision</w:t>
            </w:r>
          </w:p>
        </w:tc>
        <w:tc>
          <w:tcPr>
            <w:tcW w:type="dxa" w:w="4946"/>
            <w:tcMar>
              <w:top w:w="80" w:type="dxa"/>
              <w:start w:w="100" w:type="dxa"/>
              <w:bottom w:w="80" w:type="dxa"/>
              <w:end w:w="100" w:type="dxa"/>
            </w:tcMar>
            <w:vAlign w:val="center"/>
            <w:shd w:fill="F7F9FA"/>
          </w:tcPr>
          <w:p>
            <w:pPr>
              <w:spacing w:after="0"/>
            </w:pPr>
            <w:r/>
            <w:r>
              <w:rPr>
                <w:rFonts w:ascii="Aptos" w:hAnsi="Aptos"/>
                <w:b w:val="0"/>
                <w:color w:val="222222"/>
                <w:sz w:val="16"/>
              </w:rPr>
              <w:t>AI Act Art. 50(2) and associated exceptions | S01, S05, S06</w:t>
            </w:r>
          </w:p>
        </w:tc>
      </w:tr>
      <w:tr>
        <w:tc>
          <w:tcPr>
            <w:tcW w:type="dxa" w:w="4946"/>
            <w:tcMar>
              <w:top w:w="80" w:type="dxa"/>
              <w:start w:w="100" w:type="dxa"/>
              <w:bottom w:w="80" w:type="dxa"/>
              <w:end w:w="100" w:type="dxa"/>
            </w:tcMar>
            <w:vAlign w:val="center"/>
            <w:shd w:fill="2A6F6B"/>
          </w:tcPr>
          <w:p>
            <w:pPr>
              <w:spacing w:after="0"/>
            </w:pPr>
            <w:r/>
            <w:r>
              <w:rPr>
                <w:rFonts w:ascii="Aptos" w:hAnsi="Aptos"/>
                <w:b/>
                <w:color w:val="FFFFFF"/>
                <w:sz w:val="16"/>
              </w:rPr>
              <w:t>Applicability</w:t>
            </w:r>
          </w:p>
        </w:tc>
        <w:tc>
          <w:tcPr>
            <w:tcW w:type="dxa" w:w="4946"/>
            <w:tcMar>
              <w:top w:w="80" w:type="dxa"/>
              <w:start w:w="100" w:type="dxa"/>
              <w:bottom w:w="80" w:type="dxa"/>
              <w:end w:w="100" w:type="dxa"/>
            </w:tcMar>
            <w:vAlign w:val="center"/>
            <w:shd w:fill="FFFFFF"/>
          </w:tcPr>
          <w:p>
            <w:pPr>
              <w:spacing w:after="0"/>
            </w:pPr>
            <w:r/>
            <w:r>
              <w:rPr>
                <w:rFonts w:ascii="Aptos" w:hAnsi="Aptos"/>
                <w:b w:val="0"/>
                <w:color w:val="222222"/>
                <w:sz w:val="16"/>
              </w:rPr>
              <w:t>Potentially relevant to PondGPT, QuackBot and DuckDesign if Duckworks is the provider and the system generates covered content. Vendor-provider status changes responsibility.</w:t>
            </w:r>
          </w:p>
        </w:tc>
      </w:tr>
      <w:tr>
        <w:tc>
          <w:tcPr>
            <w:tcW w:type="dxa" w:w="4946"/>
            <w:tcMar>
              <w:top w:w="80" w:type="dxa"/>
              <w:start w:w="100" w:type="dxa"/>
              <w:bottom w:w="80" w:type="dxa"/>
              <w:end w:w="100" w:type="dxa"/>
            </w:tcMar>
            <w:vAlign w:val="center"/>
            <w:shd w:fill="2A6F6B"/>
          </w:tcPr>
          <w:p>
            <w:pPr>
              <w:spacing w:after="0"/>
            </w:pPr>
            <w:r/>
            <w:r>
              <w:rPr>
                <w:rFonts w:ascii="Aptos" w:hAnsi="Aptos"/>
                <w:b/>
                <w:color w:val="FFFFFF"/>
                <w:sz w:val="16"/>
              </w:rPr>
              <w:t>Timing / status</w:t>
            </w:r>
          </w:p>
        </w:tc>
        <w:tc>
          <w:tcPr>
            <w:tcW w:type="dxa" w:w="4946"/>
            <w:tcMar>
              <w:top w:w="80" w:type="dxa"/>
              <w:start w:w="100" w:type="dxa"/>
              <w:bottom w:w="80" w:type="dxa"/>
              <w:end w:w="100" w:type="dxa"/>
            </w:tcMar>
            <w:vAlign w:val="center"/>
            <w:shd w:fill="F7F9FA"/>
          </w:tcPr>
          <w:p>
            <w:pPr>
              <w:spacing w:after="0"/>
            </w:pPr>
            <w:r/>
            <w:r>
              <w:rPr>
                <w:rFonts w:ascii="Aptos" w:hAnsi="Aptos"/>
                <w:b w:val="0"/>
                <w:color w:val="222222"/>
                <w:sz w:val="16"/>
              </w:rPr>
              <w:t>Applicable from 2 Aug 2026, subject to transition/exception details</w:t>
            </w:r>
          </w:p>
        </w:tc>
      </w:tr>
      <w:tr>
        <w:tc>
          <w:tcPr>
            <w:tcW w:type="dxa" w:w="4946"/>
            <w:tcMar>
              <w:top w:w="80" w:type="dxa"/>
              <w:start w:w="100" w:type="dxa"/>
              <w:bottom w:w="80" w:type="dxa"/>
              <w:end w:w="100" w:type="dxa"/>
            </w:tcMar>
            <w:vAlign w:val="center"/>
            <w:shd w:fill="2A6F6B"/>
          </w:tcPr>
          <w:p>
            <w:pPr>
              <w:spacing w:after="0"/>
            </w:pPr>
            <w:r/>
            <w:r>
              <w:rPr>
                <w:rFonts w:ascii="Aptos" w:hAnsi="Aptos"/>
                <w:b/>
                <w:color w:val="FFFFFF"/>
                <w:sz w:val="16"/>
              </w:rPr>
              <w:t>Uncertainty / action</w:t>
            </w:r>
          </w:p>
        </w:tc>
        <w:tc>
          <w:tcPr>
            <w:tcW w:type="dxa" w:w="4946"/>
            <w:tcMar>
              <w:top w:w="80" w:type="dxa"/>
              <w:start w:w="100" w:type="dxa"/>
              <w:bottom w:w="80" w:type="dxa"/>
              <w:end w:w="100" w:type="dxa"/>
            </w:tcMar>
            <w:vAlign w:val="center"/>
            <w:shd w:fill="FFFFFF"/>
          </w:tcPr>
          <w:p>
            <w:pPr>
              <w:spacing w:after="0"/>
            </w:pPr>
            <w:r/>
            <w:r>
              <w:rPr>
                <w:rFonts w:ascii="Aptos" w:hAnsi="Aptos"/>
                <w:b w:val="0"/>
                <w:color w:val="222222"/>
                <w:sz w:val="16"/>
              </w:rPr>
              <w:t>Uncertainty: High.  Duckworks action: Perform provider-role and output-type analysis; contractually obtain vendor evidence where a third party is provider.</w:t>
            </w:r>
          </w:p>
        </w:tc>
      </w:tr>
    </w:tbl>
    <w:p>
      <w:pPr>
        <w:spacing w:after="20"/>
      </w:pPr>
    </w:p>
    <w:p>
      <w:pPr>
        <w:keepNext/>
        <w:spacing w:before="100" w:after="40"/>
      </w:pPr>
      <w:r>
        <w:rPr>
          <w:b/>
          <w:color w:val="17324D"/>
          <w:sz w:val="21"/>
        </w:rPr>
        <w:t>L-08  DuckTalent is very likely an Annex III high-risk AI system because it analyses, filters, ranks and recommends job applicants.</w:t>
      </w:r>
    </w:p>
    <w:tbl>
      <w:tblPr>
        <w:tblW w:type="auto" w:w="0"/>
        <w:jc w:val="center"/>
        <w:tblLayout w:type="fixed"/>
        <w:tblLook w:firstColumn="1" w:firstRow="1" w:lastColumn="0" w:lastRow="0" w:noHBand="0" w:noVBand="1" w:val="04A0"/>
      </w:tblPr>
      <w:tblGrid>
        <w:gridCol w:w="1944"/>
        <w:gridCol w:w="8280"/>
      </w:tblGrid>
      <w:tr>
        <w:tc>
          <w:tcPr>
            <w:tcW w:type="dxa" w:w="4946"/>
            <w:tcMar>
              <w:top w:w="80" w:type="dxa"/>
              <w:start w:w="100" w:type="dxa"/>
              <w:bottom w:w="80" w:type="dxa"/>
              <w:end w:w="100" w:type="dxa"/>
            </w:tcMar>
            <w:vAlign w:val="center"/>
            <w:shd w:fill="2A6F6B"/>
          </w:tcPr>
          <w:p>
            <w:pPr>
              <w:spacing w:after="0"/>
            </w:pPr>
            <w:r/>
            <w:r>
              <w:rPr>
                <w:rFonts w:ascii="Aptos" w:hAnsi="Aptos"/>
                <w:b/>
                <w:color w:val="FFFFFF"/>
                <w:sz w:val="16"/>
              </w:rPr>
              <w:t>Classification</w:t>
            </w:r>
          </w:p>
        </w:tc>
        <w:tc>
          <w:tcPr>
            <w:tcW w:type="dxa" w:w="4946"/>
            <w:tcMar>
              <w:top w:w="80" w:type="dxa"/>
              <w:start w:w="100" w:type="dxa"/>
              <w:bottom w:w="80" w:type="dxa"/>
              <w:end w:w="100" w:type="dxa"/>
            </w:tcMar>
            <w:vAlign w:val="center"/>
            <w:shd w:fill="FFFFFF"/>
          </w:tcPr>
          <w:p>
            <w:pPr>
              <w:spacing w:after="0"/>
            </w:pPr>
            <w:r/>
            <w:r>
              <w:rPr>
                <w:rFonts w:ascii="Aptos" w:hAnsi="Aptos"/>
                <w:b w:val="0"/>
                <w:color w:val="222222"/>
                <w:sz w:val="16"/>
              </w:rPr>
              <w:t>Future mandatory high-risk requirement</w:t>
            </w:r>
          </w:p>
        </w:tc>
      </w:tr>
      <w:tr>
        <w:tc>
          <w:tcPr>
            <w:tcW w:type="dxa" w:w="4946"/>
            <w:tcMar>
              <w:top w:w="80" w:type="dxa"/>
              <w:start w:w="100" w:type="dxa"/>
              <w:bottom w:w="80" w:type="dxa"/>
              <w:end w:w="100" w:type="dxa"/>
            </w:tcMar>
            <w:vAlign w:val="center"/>
            <w:shd w:fill="2A6F6B"/>
          </w:tcPr>
          <w:p>
            <w:pPr>
              <w:spacing w:after="0"/>
            </w:pPr>
            <w:r/>
            <w:r>
              <w:rPr>
                <w:rFonts w:ascii="Aptos" w:hAnsi="Aptos"/>
                <w:b/>
                <w:color w:val="FFFFFF"/>
                <w:sz w:val="16"/>
              </w:rPr>
              <w:t>Source / provision</w:t>
            </w:r>
          </w:p>
        </w:tc>
        <w:tc>
          <w:tcPr>
            <w:tcW w:type="dxa" w:w="4946"/>
            <w:tcMar>
              <w:top w:w="80" w:type="dxa"/>
              <w:start w:w="100" w:type="dxa"/>
              <w:bottom w:w="80" w:type="dxa"/>
              <w:end w:w="100" w:type="dxa"/>
            </w:tcMar>
            <w:vAlign w:val="center"/>
            <w:shd w:fill="F7F9FA"/>
          </w:tcPr>
          <w:p>
            <w:pPr>
              <w:spacing w:after="0"/>
            </w:pPr>
            <w:r/>
            <w:r>
              <w:rPr>
                <w:rFonts w:ascii="Aptos" w:hAnsi="Aptos"/>
                <w:b w:val="0"/>
                <w:color w:val="222222"/>
                <w:sz w:val="16"/>
              </w:rPr>
              <w:t>AI Act Art. 6(2); Annex III point 4(a) | S01, S03, S07</w:t>
            </w:r>
          </w:p>
        </w:tc>
      </w:tr>
      <w:tr>
        <w:tc>
          <w:tcPr>
            <w:tcW w:type="dxa" w:w="4946"/>
            <w:tcMar>
              <w:top w:w="80" w:type="dxa"/>
              <w:start w:w="100" w:type="dxa"/>
              <w:bottom w:w="80" w:type="dxa"/>
              <w:end w:w="100" w:type="dxa"/>
            </w:tcMar>
            <w:vAlign w:val="center"/>
            <w:shd w:fill="2A6F6B"/>
          </w:tcPr>
          <w:p>
            <w:pPr>
              <w:spacing w:after="0"/>
            </w:pPr>
            <w:r/>
            <w:r>
              <w:rPr>
                <w:rFonts w:ascii="Aptos" w:hAnsi="Aptos"/>
                <w:b/>
                <w:color w:val="FFFFFF"/>
                <w:sz w:val="16"/>
              </w:rPr>
              <w:t>Applicability</w:t>
            </w:r>
          </w:p>
        </w:tc>
        <w:tc>
          <w:tcPr>
            <w:tcW w:type="dxa" w:w="4946"/>
            <w:tcMar>
              <w:top w:w="80" w:type="dxa"/>
              <w:start w:w="100" w:type="dxa"/>
              <w:bottom w:w="80" w:type="dxa"/>
              <w:end w:w="100" w:type="dxa"/>
            </w:tcMar>
            <w:vAlign w:val="center"/>
            <w:shd w:fill="FFFFFF"/>
          </w:tcPr>
          <w:p>
            <w:pPr>
              <w:spacing w:after="0"/>
            </w:pPr>
            <w:r/>
            <w:r>
              <w:rPr>
                <w:rFonts w:ascii="Aptos" w:hAnsi="Aptos"/>
                <w:b w:val="0"/>
                <w:color w:val="222222"/>
                <w:sz w:val="16"/>
              </w:rPr>
              <w:t>The intended purpose closely matches recruitment and candidate-evaluation use cases in Annex III. This is still a preliminary legal classification for the fictional project.</w:t>
            </w:r>
          </w:p>
        </w:tc>
      </w:tr>
      <w:tr>
        <w:tc>
          <w:tcPr>
            <w:tcW w:type="dxa" w:w="4946"/>
            <w:tcMar>
              <w:top w:w="80" w:type="dxa"/>
              <w:start w:w="100" w:type="dxa"/>
              <w:bottom w:w="80" w:type="dxa"/>
              <w:end w:w="100" w:type="dxa"/>
            </w:tcMar>
            <w:vAlign w:val="center"/>
            <w:shd w:fill="2A6F6B"/>
          </w:tcPr>
          <w:p>
            <w:pPr>
              <w:spacing w:after="0"/>
            </w:pPr>
            <w:r/>
            <w:r>
              <w:rPr>
                <w:rFonts w:ascii="Aptos" w:hAnsi="Aptos"/>
                <w:b/>
                <w:color w:val="FFFFFF"/>
                <w:sz w:val="16"/>
              </w:rPr>
              <w:t>Timing / status</w:t>
            </w:r>
          </w:p>
        </w:tc>
        <w:tc>
          <w:tcPr>
            <w:tcW w:type="dxa" w:w="4946"/>
            <w:tcMar>
              <w:top w:w="80" w:type="dxa"/>
              <w:start w:w="100" w:type="dxa"/>
              <w:bottom w:w="80" w:type="dxa"/>
              <w:end w:w="100" w:type="dxa"/>
            </w:tcMar>
            <w:vAlign w:val="center"/>
            <w:shd w:fill="F7F9FA"/>
          </w:tcPr>
          <w:p>
            <w:pPr>
              <w:spacing w:after="0"/>
            </w:pPr>
            <w:r/>
            <w:r>
              <w:rPr>
                <w:rFonts w:ascii="Aptos" w:hAnsi="Aptos"/>
                <w:b w:val="0"/>
                <w:color w:val="222222"/>
                <w:sz w:val="16"/>
              </w:rPr>
              <w:t>High-risk requirements apply from 2 Dec 2027</w:t>
            </w:r>
          </w:p>
        </w:tc>
      </w:tr>
      <w:tr>
        <w:tc>
          <w:tcPr>
            <w:tcW w:type="dxa" w:w="4946"/>
            <w:tcMar>
              <w:top w:w="80" w:type="dxa"/>
              <w:start w:w="100" w:type="dxa"/>
              <w:bottom w:w="80" w:type="dxa"/>
              <w:end w:w="100" w:type="dxa"/>
            </w:tcMar>
            <w:vAlign w:val="center"/>
            <w:shd w:fill="2A6F6B"/>
          </w:tcPr>
          <w:p>
            <w:pPr>
              <w:spacing w:after="0"/>
            </w:pPr>
            <w:r/>
            <w:r>
              <w:rPr>
                <w:rFonts w:ascii="Aptos" w:hAnsi="Aptos"/>
                <w:b/>
                <w:color w:val="FFFFFF"/>
                <w:sz w:val="16"/>
              </w:rPr>
              <w:t>Uncertainty / action</w:t>
            </w:r>
          </w:p>
        </w:tc>
        <w:tc>
          <w:tcPr>
            <w:tcW w:type="dxa" w:w="4946"/>
            <w:tcMar>
              <w:top w:w="80" w:type="dxa"/>
              <w:start w:w="100" w:type="dxa"/>
              <w:bottom w:w="80" w:type="dxa"/>
              <w:end w:w="100" w:type="dxa"/>
            </w:tcMar>
            <w:vAlign w:val="center"/>
            <w:shd w:fill="FFFFFF"/>
          </w:tcPr>
          <w:p>
            <w:pPr>
              <w:spacing w:after="0"/>
            </w:pPr>
            <w:r/>
            <w:r>
              <w:rPr>
                <w:rFonts w:ascii="Aptos" w:hAnsi="Aptos"/>
                <w:b w:val="0"/>
                <w:color w:val="222222"/>
                <w:sz w:val="16"/>
              </w:rPr>
              <w:t>Uncertainty: Medium.  Duckworks action: Label DuckTalent "Preliminary Annex III High-Risk - legal confirmation required" and design to the future high-risk regime now.</w:t>
            </w:r>
          </w:p>
        </w:tc>
      </w:tr>
    </w:tbl>
    <w:p>
      <w:pPr>
        <w:spacing w:after="20"/>
      </w:pPr>
    </w:p>
    <w:p>
      <w:pPr>
        <w:keepNext/>
        <w:spacing w:before="100" w:after="40"/>
      </w:pPr>
      <w:r>
        <w:rPr>
          <w:b/>
          <w:color w:val="17324D"/>
          <w:sz w:val="21"/>
        </w:rPr>
        <w:t>L-09  The Article 6(3) Annex III exception should not presently be relied upon for DuckTalent.</w:t>
      </w:r>
    </w:p>
    <w:tbl>
      <w:tblPr>
        <w:tblW w:type="auto" w:w="0"/>
        <w:jc w:val="center"/>
        <w:tblLayout w:type="fixed"/>
        <w:tblLook w:firstColumn="1" w:firstRow="1" w:lastColumn="0" w:lastRow="0" w:noHBand="0" w:noVBand="1" w:val="04A0"/>
      </w:tblPr>
      <w:tblGrid>
        <w:gridCol w:w="1944"/>
        <w:gridCol w:w="8280"/>
      </w:tblGrid>
      <w:tr>
        <w:tc>
          <w:tcPr>
            <w:tcW w:type="dxa" w:w="4946"/>
            <w:tcMar>
              <w:top w:w="80" w:type="dxa"/>
              <w:start w:w="100" w:type="dxa"/>
              <w:bottom w:w="80" w:type="dxa"/>
              <w:end w:w="100" w:type="dxa"/>
            </w:tcMar>
            <w:vAlign w:val="center"/>
            <w:shd w:fill="2A6F6B"/>
          </w:tcPr>
          <w:p>
            <w:pPr>
              <w:spacing w:after="0"/>
            </w:pPr>
            <w:r/>
            <w:r>
              <w:rPr>
                <w:rFonts w:ascii="Aptos" w:hAnsi="Aptos"/>
                <w:b/>
                <w:color w:val="FFFFFF"/>
                <w:sz w:val="16"/>
              </w:rPr>
              <w:t>Classification</w:t>
            </w:r>
          </w:p>
        </w:tc>
        <w:tc>
          <w:tcPr>
            <w:tcW w:type="dxa" w:w="4946"/>
            <w:tcMar>
              <w:top w:w="80" w:type="dxa"/>
              <w:start w:w="100" w:type="dxa"/>
              <w:bottom w:w="80" w:type="dxa"/>
              <w:end w:w="100" w:type="dxa"/>
            </w:tcMar>
            <w:vAlign w:val="center"/>
            <w:shd w:fill="FFFFFF"/>
          </w:tcPr>
          <w:p>
            <w:pPr>
              <w:spacing w:after="0"/>
            </w:pPr>
            <w:r/>
            <w:r>
              <w:rPr>
                <w:rFonts w:ascii="Aptos" w:hAnsi="Aptos"/>
                <w:b w:val="0"/>
                <w:color w:val="222222"/>
                <w:sz w:val="16"/>
              </w:rPr>
              <w:t>Future mandatory high-risk requirement</w:t>
            </w:r>
          </w:p>
        </w:tc>
      </w:tr>
      <w:tr>
        <w:tc>
          <w:tcPr>
            <w:tcW w:type="dxa" w:w="4946"/>
            <w:tcMar>
              <w:top w:w="80" w:type="dxa"/>
              <w:start w:w="100" w:type="dxa"/>
              <w:bottom w:w="80" w:type="dxa"/>
              <w:end w:w="100" w:type="dxa"/>
            </w:tcMar>
            <w:vAlign w:val="center"/>
            <w:shd w:fill="2A6F6B"/>
          </w:tcPr>
          <w:p>
            <w:pPr>
              <w:spacing w:after="0"/>
            </w:pPr>
            <w:r/>
            <w:r>
              <w:rPr>
                <w:rFonts w:ascii="Aptos" w:hAnsi="Aptos"/>
                <w:b/>
                <w:color w:val="FFFFFF"/>
                <w:sz w:val="16"/>
              </w:rPr>
              <w:t>Source / provision</w:t>
            </w:r>
          </w:p>
        </w:tc>
        <w:tc>
          <w:tcPr>
            <w:tcW w:type="dxa" w:w="4946"/>
            <w:tcMar>
              <w:top w:w="80" w:type="dxa"/>
              <w:start w:w="100" w:type="dxa"/>
              <w:bottom w:w="80" w:type="dxa"/>
              <w:end w:w="100" w:type="dxa"/>
            </w:tcMar>
            <w:vAlign w:val="center"/>
            <w:shd w:fill="F7F9FA"/>
          </w:tcPr>
          <w:p>
            <w:pPr>
              <w:spacing w:after="0"/>
            </w:pPr>
            <w:r/>
            <w:r>
              <w:rPr>
                <w:rFonts w:ascii="Aptos" w:hAnsi="Aptos"/>
                <w:b w:val="0"/>
                <w:color w:val="222222"/>
                <w:sz w:val="16"/>
              </w:rPr>
              <w:t>AI Act Art. 6(3) | S01, S07</w:t>
            </w:r>
          </w:p>
        </w:tc>
      </w:tr>
      <w:tr>
        <w:tc>
          <w:tcPr>
            <w:tcW w:type="dxa" w:w="4946"/>
            <w:tcMar>
              <w:top w:w="80" w:type="dxa"/>
              <w:start w:w="100" w:type="dxa"/>
              <w:bottom w:w="80" w:type="dxa"/>
              <w:end w:w="100" w:type="dxa"/>
            </w:tcMar>
            <w:vAlign w:val="center"/>
            <w:shd w:fill="2A6F6B"/>
          </w:tcPr>
          <w:p>
            <w:pPr>
              <w:spacing w:after="0"/>
            </w:pPr>
            <w:r/>
            <w:r>
              <w:rPr>
                <w:rFonts w:ascii="Aptos" w:hAnsi="Aptos"/>
                <w:b/>
                <w:color w:val="FFFFFF"/>
                <w:sz w:val="16"/>
              </w:rPr>
              <w:t>Applicability</w:t>
            </w:r>
          </w:p>
        </w:tc>
        <w:tc>
          <w:tcPr>
            <w:tcW w:type="dxa" w:w="4946"/>
            <w:tcMar>
              <w:top w:w="80" w:type="dxa"/>
              <w:start w:w="100" w:type="dxa"/>
              <w:bottom w:w="80" w:type="dxa"/>
              <w:end w:w="100" w:type="dxa"/>
            </w:tcMar>
            <w:vAlign w:val="center"/>
            <w:shd w:fill="FFFFFF"/>
          </w:tcPr>
          <w:p>
            <w:pPr>
              <w:spacing w:after="0"/>
            </w:pPr>
            <w:r/>
            <w:r>
              <w:rPr>
                <w:rFonts w:ascii="Aptos" w:hAnsi="Aptos"/>
                <w:b w:val="0"/>
                <w:color w:val="222222"/>
                <w:sz w:val="16"/>
              </w:rPr>
              <w:t>Ranking and recommendation materially influence employment decisions, making the narrow procedural/preparatory exception difficult to support.</w:t>
            </w:r>
          </w:p>
        </w:tc>
      </w:tr>
      <w:tr>
        <w:tc>
          <w:tcPr>
            <w:tcW w:type="dxa" w:w="4946"/>
            <w:tcMar>
              <w:top w:w="80" w:type="dxa"/>
              <w:start w:w="100" w:type="dxa"/>
              <w:bottom w:w="80" w:type="dxa"/>
              <w:end w:w="100" w:type="dxa"/>
            </w:tcMar>
            <w:vAlign w:val="center"/>
            <w:shd w:fill="2A6F6B"/>
          </w:tcPr>
          <w:p>
            <w:pPr>
              <w:spacing w:after="0"/>
            </w:pPr>
            <w:r/>
            <w:r>
              <w:rPr>
                <w:rFonts w:ascii="Aptos" w:hAnsi="Aptos"/>
                <w:b/>
                <w:color w:val="FFFFFF"/>
                <w:sz w:val="16"/>
              </w:rPr>
              <w:t>Timing / status</w:t>
            </w:r>
          </w:p>
        </w:tc>
        <w:tc>
          <w:tcPr>
            <w:tcW w:type="dxa" w:w="4946"/>
            <w:tcMar>
              <w:top w:w="80" w:type="dxa"/>
              <w:start w:w="100" w:type="dxa"/>
              <w:bottom w:w="80" w:type="dxa"/>
              <w:end w:w="100" w:type="dxa"/>
            </w:tcMar>
            <w:vAlign w:val="center"/>
            <w:shd w:fill="F7F9FA"/>
          </w:tcPr>
          <w:p>
            <w:pPr>
              <w:spacing w:after="0"/>
            </w:pPr>
            <w:r/>
            <w:r>
              <w:rPr>
                <w:rFonts w:ascii="Aptos" w:hAnsi="Aptos"/>
                <w:b w:val="0"/>
                <w:color w:val="222222"/>
                <w:sz w:val="16"/>
              </w:rPr>
              <w:t>High-risk regime from 2 Dec 2027</w:t>
            </w:r>
          </w:p>
        </w:tc>
      </w:tr>
      <w:tr>
        <w:tc>
          <w:tcPr>
            <w:tcW w:type="dxa" w:w="4946"/>
            <w:tcMar>
              <w:top w:w="80" w:type="dxa"/>
              <w:start w:w="100" w:type="dxa"/>
              <w:bottom w:w="80" w:type="dxa"/>
              <w:end w:w="100" w:type="dxa"/>
            </w:tcMar>
            <w:vAlign w:val="center"/>
            <w:shd w:fill="2A6F6B"/>
          </w:tcPr>
          <w:p>
            <w:pPr>
              <w:spacing w:after="0"/>
            </w:pPr>
            <w:r/>
            <w:r>
              <w:rPr>
                <w:rFonts w:ascii="Aptos" w:hAnsi="Aptos"/>
                <w:b/>
                <w:color w:val="FFFFFF"/>
                <w:sz w:val="16"/>
              </w:rPr>
              <w:t>Uncertainty / action</w:t>
            </w:r>
          </w:p>
        </w:tc>
        <w:tc>
          <w:tcPr>
            <w:tcW w:type="dxa" w:w="4946"/>
            <w:tcMar>
              <w:top w:w="80" w:type="dxa"/>
              <w:start w:w="100" w:type="dxa"/>
              <w:bottom w:w="80" w:type="dxa"/>
              <w:end w:w="100" w:type="dxa"/>
            </w:tcMar>
            <w:vAlign w:val="center"/>
            <w:shd w:fill="FFFFFF"/>
          </w:tcPr>
          <w:p>
            <w:pPr>
              <w:spacing w:after="0"/>
            </w:pPr>
            <w:r/>
            <w:r>
              <w:rPr>
                <w:rFonts w:ascii="Aptos" w:hAnsi="Aptos"/>
                <w:b w:val="0"/>
                <w:color w:val="222222"/>
                <w:sz w:val="16"/>
              </w:rPr>
              <w:t>Uncertainty: High.  Duckworks action: Document an Art. 6(3) assessment but assume high-risk until Legal confirms otherwise.</w:t>
            </w:r>
          </w:p>
        </w:tc>
      </w:tr>
    </w:tbl>
    <w:p>
      <w:pPr>
        <w:spacing w:after="20"/>
      </w:pPr>
    </w:p>
    <w:p>
      <w:pPr>
        <w:keepNext/>
        <w:spacing w:before="100" w:after="40"/>
      </w:pPr>
      <w:r>
        <w:rPr>
          <w:b/>
          <w:color w:val="17324D"/>
          <w:sz w:val="21"/>
        </w:rPr>
        <w:t>L-10  A human final hiring decision does not by itself remove DuckTalent from Annex III high-risk classification.</w:t>
      </w:r>
    </w:p>
    <w:tbl>
      <w:tblPr>
        <w:tblW w:type="auto" w:w="0"/>
        <w:jc w:val="center"/>
        <w:tblLayout w:type="fixed"/>
        <w:tblLook w:firstColumn="1" w:firstRow="1" w:lastColumn="0" w:lastRow="0" w:noHBand="0" w:noVBand="1" w:val="04A0"/>
      </w:tblPr>
      <w:tblGrid>
        <w:gridCol w:w="1944"/>
        <w:gridCol w:w="8280"/>
      </w:tblGrid>
      <w:tr>
        <w:tc>
          <w:tcPr>
            <w:tcW w:type="dxa" w:w="4946"/>
            <w:tcMar>
              <w:top w:w="80" w:type="dxa"/>
              <w:start w:w="100" w:type="dxa"/>
              <w:bottom w:w="80" w:type="dxa"/>
              <w:end w:w="100" w:type="dxa"/>
            </w:tcMar>
            <w:vAlign w:val="center"/>
            <w:shd w:fill="2A6F6B"/>
          </w:tcPr>
          <w:p>
            <w:pPr>
              <w:spacing w:after="0"/>
            </w:pPr>
            <w:r/>
            <w:r>
              <w:rPr>
                <w:rFonts w:ascii="Aptos" w:hAnsi="Aptos"/>
                <w:b/>
                <w:color w:val="FFFFFF"/>
                <w:sz w:val="16"/>
              </w:rPr>
              <w:t>Classification</w:t>
            </w:r>
          </w:p>
        </w:tc>
        <w:tc>
          <w:tcPr>
            <w:tcW w:type="dxa" w:w="4946"/>
            <w:tcMar>
              <w:top w:w="80" w:type="dxa"/>
              <w:start w:w="100" w:type="dxa"/>
              <w:bottom w:w="80" w:type="dxa"/>
              <w:end w:w="100" w:type="dxa"/>
            </w:tcMar>
            <w:vAlign w:val="center"/>
            <w:shd w:fill="FFFFFF"/>
          </w:tcPr>
          <w:p>
            <w:pPr>
              <w:spacing w:after="0"/>
            </w:pPr>
            <w:r/>
            <w:r>
              <w:rPr>
                <w:rFonts w:ascii="Aptos" w:hAnsi="Aptos"/>
                <w:b w:val="0"/>
                <w:color w:val="222222"/>
                <w:sz w:val="16"/>
              </w:rPr>
              <w:t>Legal classification principle</w:t>
            </w:r>
          </w:p>
        </w:tc>
      </w:tr>
      <w:tr>
        <w:tc>
          <w:tcPr>
            <w:tcW w:type="dxa" w:w="4946"/>
            <w:tcMar>
              <w:top w:w="80" w:type="dxa"/>
              <w:start w:w="100" w:type="dxa"/>
              <w:bottom w:w="80" w:type="dxa"/>
              <w:end w:w="100" w:type="dxa"/>
            </w:tcMar>
            <w:vAlign w:val="center"/>
            <w:shd w:fill="2A6F6B"/>
          </w:tcPr>
          <w:p>
            <w:pPr>
              <w:spacing w:after="0"/>
            </w:pPr>
            <w:r/>
            <w:r>
              <w:rPr>
                <w:rFonts w:ascii="Aptos" w:hAnsi="Aptos"/>
                <w:b/>
                <w:color w:val="FFFFFF"/>
                <w:sz w:val="16"/>
              </w:rPr>
              <w:t>Source / provision</w:t>
            </w:r>
          </w:p>
        </w:tc>
        <w:tc>
          <w:tcPr>
            <w:tcW w:type="dxa" w:w="4946"/>
            <w:tcMar>
              <w:top w:w="80" w:type="dxa"/>
              <w:start w:w="100" w:type="dxa"/>
              <w:bottom w:w="80" w:type="dxa"/>
              <w:end w:w="100" w:type="dxa"/>
            </w:tcMar>
            <w:vAlign w:val="center"/>
            <w:shd w:fill="F7F9FA"/>
          </w:tcPr>
          <w:p>
            <w:pPr>
              <w:spacing w:after="0"/>
            </w:pPr>
            <w:r/>
            <w:r>
              <w:rPr>
                <w:rFonts w:ascii="Aptos" w:hAnsi="Aptos"/>
                <w:b w:val="0"/>
                <w:color w:val="222222"/>
                <w:sz w:val="16"/>
              </w:rPr>
              <w:t>AI Act Art. 6; Annex III point 4(a); Art. 6(3) | S01, S07</w:t>
            </w:r>
          </w:p>
        </w:tc>
      </w:tr>
      <w:tr>
        <w:tc>
          <w:tcPr>
            <w:tcW w:type="dxa" w:w="4946"/>
            <w:tcMar>
              <w:top w:w="80" w:type="dxa"/>
              <w:start w:w="100" w:type="dxa"/>
              <w:bottom w:w="80" w:type="dxa"/>
              <w:end w:w="100" w:type="dxa"/>
            </w:tcMar>
            <w:vAlign w:val="center"/>
            <w:shd w:fill="2A6F6B"/>
          </w:tcPr>
          <w:p>
            <w:pPr>
              <w:spacing w:after="0"/>
            </w:pPr>
            <w:r/>
            <w:r>
              <w:rPr>
                <w:rFonts w:ascii="Aptos" w:hAnsi="Aptos"/>
                <w:b/>
                <w:color w:val="FFFFFF"/>
                <w:sz w:val="16"/>
              </w:rPr>
              <w:t>Applicability</w:t>
            </w:r>
          </w:p>
        </w:tc>
        <w:tc>
          <w:tcPr>
            <w:tcW w:type="dxa" w:w="4946"/>
            <w:tcMar>
              <w:top w:w="80" w:type="dxa"/>
              <w:start w:w="100" w:type="dxa"/>
              <w:bottom w:w="80" w:type="dxa"/>
              <w:end w:w="100" w:type="dxa"/>
            </w:tcMar>
            <w:vAlign w:val="center"/>
            <w:shd w:fill="FFFFFF"/>
          </w:tcPr>
          <w:p>
            <w:pPr>
              <w:spacing w:after="0"/>
            </w:pPr>
            <w:r/>
            <w:r>
              <w:rPr>
                <w:rFonts w:ascii="Aptos" w:hAnsi="Aptos"/>
                <w:b w:val="0"/>
                <w:color w:val="222222"/>
                <w:sz w:val="16"/>
              </w:rPr>
              <w:t>Human review is a critical safeguard, but classification turns primarily on intended purpose and the statutory exception test.</w:t>
            </w:r>
          </w:p>
        </w:tc>
      </w:tr>
      <w:tr>
        <w:tc>
          <w:tcPr>
            <w:tcW w:type="dxa" w:w="4946"/>
            <w:tcMar>
              <w:top w:w="80" w:type="dxa"/>
              <w:start w:w="100" w:type="dxa"/>
              <w:bottom w:w="80" w:type="dxa"/>
              <w:end w:w="100" w:type="dxa"/>
            </w:tcMar>
            <w:vAlign w:val="center"/>
            <w:shd w:fill="2A6F6B"/>
          </w:tcPr>
          <w:p>
            <w:pPr>
              <w:spacing w:after="0"/>
            </w:pPr>
            <w:r/>
            <w:r>
              <w:rPr>
                <w:rFonts w:ascii="Aptos" w:hAnsi="Aptos"/>
                <w:b/>
                <w:color w:val="FFFFFF"/>
                <w:sz w:val="16"/>
              </w:rPr>
              <w:t>Timing / status</w:t>
            </w:r>
          </w:p>
        </w:tc>
        <w:tc>
          <w:tcPr>
            <w:tcW w:type="dxa" w:w="4946"/>
            <w:tcMar>
              <w:top w:w="80" w:type="dxa"/>
              <w:start w:w="100" w:type="dxa"/>
              <w:bottom w:w="80" w:type="dxa"/>
              <w:end w:w="100" w:type="dxa"/>
            </w:tcMar>
            <w:vAlign w:val="center"/>
            <w:shd w:fill="F7F9FA"/>
          </w:tcPr>
          <w:p>
            <w:pPr>
              <w:spacing w:after="0"/>
            </w:pPr>
            <w:r/>
            <w:r>
              <w:rPr>
                <w:rFonts w:ascii="Aptos" w:hAnsi="Aptos"/>
                <w:b w:val="0"/>
                <w:color w:val="222222"/>
                <w:sz w:val="16"/>
              </w:rPr>
              <w:t>High-risk regime from 2 Dec 2027</w:t>
            </w:r>
          </w:p>
        </w:tc>
      </w:tr>
      <w:tr>
        <w:tc>
          <w:tcPr>
            <w:tcW w:type="dxa" w:w="4946"/>
            <w:tcMar>
              <w:top w:w="80" w:type="dxa"/>
              <w:start w:w="100" w:type="dxa"/>
              <w:bottom w:w="80" w:type="dxa"/>
              <w:end w:w="100" w:type="dxa"/>
            </w:tcMar>
            <w:vAlign w:val="center"/>
            <w:shd w:fill="2A6F6B"/>
          </w:tcPr>
          <w:p>
            <w:pPr>
              <w:spacing w:after="0"/>
            </w:pPr>
            <w:r/>
            <w:r>
              <w:rPr>
                <w:rFonts w:ascii="Aptos" w:hAnsi="Aptos"/>
                <w:b/>
                <w:color w:val="FFFFFF"/>
                <w:sz w:val="16"/>
              </w:rPr>
              <w:t>Uncertainty / action</w:t>
            </w:r>
          </w:p>
        </w:tc>
        <w:tc>
          <w:tcPr>
            <w:tcW w:type="dxa" w:w="4946"/>
            <w:tcMar>
              <w:top w:w="80" w:type="dxa"/>
              <w:start w:w="100" w:type="dxa"/>
              <w:bottom w:w="80" w:type="dxa"/>
              <w:end w:w="100" w:type="dxa"/>
            </w:tcMar>
            <w:vAlign w:val="center"/>
            <w:shd w:fill="FFFFFF"/>
          </w:tcPr>
          <w:p>
            <w:pPr>
              <w:spacing w:after="0"/>
            </w:pPr>
            <w:r/>
            <w:r>
              <w:rPr>
                <w:rFonts w:ascii="Aptos" w:hAnsi="Aptos"/>
                <w:b w:val="0"/>
                <w:color w:val="222222"/>
                <w:sz w:val="16"/>
              </w:rPr>
              <w:t>Uncertainty: Medium.  Duckworks action: Keep meaningful human review as a control, not as the sole basis for avoiding high-risk classification.</w:t>
            </w:r>
          </w:p>
        </w:tc>
      </w:tr>
    </w:tbl>
    <w:p>
      <w:pPr>
        <w:spacing w:after="20"/>
      </w:pPr>
    </w:p>
    <w:p>
      <w:pPr>
        <w:keepNext/>
        <w:spacing w:before="100" w:after="40"/>
      </w:pPr>
      <w:r>
        <w:rPr>
          <w:b/>
          <w:color w:val="17324D"/>
          <w:sz w:val="21"/>
        </w:rPr>
        <w:t>L-11  If Duckworks is the provider of DuckTalent, extensive high-risk system requirements will apply.</w:t>
      </w:r>
    </w:p>
    <w:tbl>
      <w:tblPr>
        <w:tblW w:type="auto" w:w="0"/>
        <w:jc w:val="center"/>
        <w:tblLayout w:type="fixed"/>
        <w:tblLook w:firstColumn="1" w:firstRow="1" w:lastColumn="0" w:lastRow="0" w:noHBand="0" w:noVBand="1" w:val="04A0"/>
      </w:tblPr>
      <w:tblGrid>
        <w:gridCol w:w="1944"/>
        <w:gridCol w:w="8280"/>
      </w:tblGrid>
      <w:tr>
        <w:tc>
          <w:tcPr>
            <w:tcW w:type="dxa" w:w="4946"/>
            <w:tcMar>
              <w:top w:w="80" w:type="dxa"/>
              <w:start w:w="100" w:type="dxa"/>
              <w:bottom w:w="80" w:type="dxa"/>
              <w:end w:w="100" w:type="dxa"/>
            </w:tcMar>
            <w:vAlign w:val="center"/>
            <w:shd w:fill="2A6F6B"/>
          </w:tcPr>
          <w:p>
            <w:pPr>
              <w:spacing w:after="0"/>
            </w:pPr>
            <w:r/>
            <w:r>
              <w:rPr>
                <w:rFonts w:ascii="Aptos" w:hAnsi="Aptos"/>
                <w:b/>
                <w:color w:val="FFFFFF"/>
                <w:sz w:val="16"/>
              </w:rPr>
              <w:t>Classification</w:t>
            </w:r>
          </w:p>
        </w:tc>
        <w:tc>
          <w:tcPr>
            <w:tcW w:type="dxa" w:w="4946"/>
            <w:tcMar>
              <w:top w:w="80" w:type="dxa"/>
              <w:start w:w="100" w:type="dxa"/>
              <w:bottom w:w="80" w:type="dxa"/>
              <w:end w:w="100" w:type="dxa"/>
            </w:tcMar>
            <w:vAlign w:val="center"/>
            <w:shd w:fill="FFFFFF"/>
          </w:tcPr>
          <w:p>
            <w:pPr>
              <w:spacing w:after="0"/>
            </w:pPr>
            <w:r/>
            <w:r>
              <w:rPr>
                <w:rFonts w:ascii="Aptos" w:hAnsi="Aptos"/>
                <w:b w:val="0"/>
                <w:color w:val="222222"/>
                <w:sz w:val="16"/>
              </w:rPr>
              <w:t>Future mandatory high-risk requirement</w:t>
            </w:r>
          </w:p>
        </w:tc>
      </w:tr>
      <w:tr>
        <w:tc>
          <w:tcPr>
            <w:tcW w:type="dxa" w:w="4946"/>
            <w:tcMar>
              <w:top w:w="80" w:type="dxa"/>
              <w:start w:w="100" w:type="dxa"/>
              <w:bottom w:w="80" w:type="dxa"/>
              <w:end w:w="100" w:type="dxa"/>
            </w:tcMar>
            <w:vAlign w:val="center"/>
            <w:shd w:fill="2A6F6B"/>
          </w:tcPr>
          <w:p>
            <w:pPr>
              <w:spacing w:after="0"/>
            </w:pPr>
            <w:r/>
            <w:r>
              <w:rPr>
                <w:rFonts w:ascii="Aptos" w:hAnsi="Aptos"/>
                <w:b/>
                <w:color w:val="FFFFFF"/>
                <w:sz w:val="16"/>
              </w:rPr>
              <w:t>Source / provision</w:t>
            </w:r>
          </w:p>
        </w:tc>
        <w:tc>
          <w:tcPr>
            <w:tcW w:type="dxa" w:w="4946"/>
            <w:tcMar>
              <w:top w:w="80" w:type="dxa"/>
              <w:start w:w="100" w:type="dxa"/>
              <w:bottom w:w="80" w:type="dxa"/>
              <w:end w:w="100" w:type="dxa"/>
            </w:tcMar>
            <w:vAlign w:val="center"/>
            <w:shd w:fill="F7F9FA"/>
          </w:tcPr>
          <w:p>
            <w:pPr>
              <w:spacing w:after="0"/>
            </w:pPr>
            <w:r/>
            <w:r>
              <w:rPr>
                <w:rFonts w:ascii="Aptos" w:hAnsi="Aptos"/>
                <w:b w:val="0"/>
                <w:color w:val="222222"/>
                <w:sz w:val="16"/>
              </w:rPr>
              <w:t>AI Act Arts. 8-25, especially 9-17 and 16 | S01</w:t>
            </w:r>
          </w:p>
        </w:tc>
      </w:tr>
      <w:tr>
        <w:tc>
          <w:tcPr>
            <w:tcW w:type="dxa" w:w="4946"/>
            <w:tcMar>
              <w:top w:w="80" w:type="dxa"/>
              <w:start w:w="100" w:type="dxa"/>
              <w:bottom w:w="80" w:type="dxa"/>
              <w:end w:w="100" w:type="dxa"/>
            </w:tcMar>
            <w:vAlign w:val="center"/>
            <w:shd w:fill="2A6F6B"/>
          </w:tcPr>
          <w:p>
            <w:pPr>
              <w:spacing w:after="0"/>
            </w:pPr>
            <w:r/>
            <w:r>
              <w:rPr>
                <w:rFonts w:ascii="Aptos" w:hAnsi="Aptos"/>
                <w:b/>
                <w:color w:val="FFFFFF"/>
                <w:sz w:val="16"/>
              </w:rPr>
              <w:t>Applicability</w:t>
            </w:r>
          </w:p>
        </w:tc>
        <w:tc>
          <w:tcPr>
            <w:tcW w:type="dxa" w:w="4946"/>
            <w:tcMar>
              <w:top w:w="80" w:type="dxa"/>
              <w:start w:w="100" w:type="dxa"/>
              <w:bottom w:w="80" w:type="dxa"/>
              <w:end w:w="100" w:type="dxa"/>
            </w:tcMar>
            <w:vAlign w:val="center"/>
            <w:shd w:fill="FFFFFF"/>
          </w:tcPr>
          <w:p>
            <w:pPr>
              <w:spacing w:after="0"/>
            </w:pPr>
            <w:r/>
            <w:r>
              <w:rPr>
                <w:rFonts w:ascii="Aptos" w:hAnsi="Aptos"/>
                <w:b w:val="0"/>
                <w:color w:val="222222"/>
                <w:sz w:val="16"/>
              </w:rPr>
              <w:t>Provider-side requirements include risk management, data governance, technical documentation, record-keeping, information to deployers, human oversight, accuracy/robustness/cybersecurity, quality management, conformity and corrective actions.</w:t>
            </w:r>
          </w:p>
        </w:tc>
      </w:tr>
      <w:tr>
        <w:tc>
          <w:tcPr>
            <w:tcW w:type="dxa" w:w="4946"/>
            <w:tcMar>
              <w:top w:w="80" w:type="dxa"/>
              <w:start w:w="100" w:type="dxa"/>
              <w:bottom w:w="80" w:type="dxa"/>
              <w:end w:w="100" w:type="dxa"/>
            </w:tcMar>
            <w:vAlign w:val="center"/>
            <w:shd w:fill="2A6F6B"/>
          </w:tcPr>
          <w:p>
            <w:pPr>
              <w:spacing w:after="0"/>
            </w:pPr>
            <w:r/>
            <w:r>
              <w:rPr>
                <w:rFonts w:ascii="Aptos" w:hAnsi="Aptos"/>
                <w:b/>
                <w:color w:val="FFFFFF"/>
                <w:sz w:val="16"/>
              </w:rPr>
              <w:t>Timing / status</w:t>
            </w:r>
          </w:p>
        </w:tc>
        <w:tc>
          <w:tcPr>
            <w:tcW w:type="dxa" w:w="4946"/>
            <w:tcMar>
              <w:top w:w="80" w:type="dxa"/>
              <w:start w:w="100" w:type="dxa"/>
              <w:bottom w:w="80" w:type="dxa"/>
              <w:end w:w="100" w:type="dxa"/>
            </w:tcMar>
            <w:vAlign w:val="center"/>
            <w:shd w:fill="F7F9FA"/>
          </w:tcPr>
          <w:p>
            <w:pPr>
              <w:spacing w:after="0"/>
            </w:pPr>
            <w:r/>
            <w:r>
              <w:rPr>
                <w:rFonts w:ascii="Aptos" w:hAnsi="Aptos"/>
                <w:b w:val="0"/>
                <w:color w:val="222222"/>
                <w:sz w:val="16"/>
              </w:rPr>
              <w:t>From 2 Dec 2027 for Annex III route</w:t>
            </w:r>
          </w:p>
        </w:tc>
      </w:tr>
      <w:tr>
        <w:tc>
          <w:tcPr>
            <w:tcW w:type="dxa" w:w="4946"/>
            <w:tcMar>
              <w:top w:w="80" w:type="dxa"/>
              <w:start w:w="100" w:type="dxa"/>
              <w:bottom w:w="80" w:type="dxa"/>
              <w:end w:w="100" w:type="dxa"/>
            </w:tcMar>
            <w:vAlign w:val="center"/>
            <w:shd w:fill="2A6F6B"/>
          </w:tcPr>
          <w:p>
            <w:pPr>
              <w:spacing w:after="0"/>
            </w:pPr>
            <w:r/>
            <w:r>
              <w:rPr>
                <w:rFonts w:ascii="Aptos" w:hAnsi="Aptos"/>
                <w:b/>
                <w:color w:val="FFFFFF"/>
                <w:sz w:val="16"/>
              </w:rPr>
              <w:t>Uncertainty / action</w:t>
            </w:r>
          </w:p>
        </w:tc>
        <w:tc>
          <w:tcPr>
            <w:tcW w:type="dxa" w:w="4946"/>
            <w:tcMar>
              <w:top w:w="80" w:type="dxa"/>
              <w:start w:w="100" w:type="dxa"/>
              <w:bottom w:w="80" w:type="dxa"/>
              <w:end w:w="100" w:type="dxa"/>
            </w:tcMar>
            <w:vAlign w:val="center"/>
            <w:shd w:fill="FFFFFF"/>
          </w:tcPr>
          <w:p>
            <w:pPr>
              <w:spacing w:after="0"/>
            </w:pPr>
            <w:r/>
            <w:r>
              <w:rPr>
                <w:rFonts w:ascii="Aptos" w:hAnsi="Aptos"/>
                <w:b w:val="0"/>
                <w:color w:val="222222"/>
                <w:sz w:val="16"/>
              </w:rPr>
              <w:t>Uncertainty: High.  Duckworks action: Build a provider-readiness workstream only if Duckworks provider status is confirmed; otherwise obtain vendor evidence contractually.</w:t>
            </w:r>
          </w:p>
        </w:tc>
      </w:tr>
    </w:tbl>
    <w:p>
      <w:pPr>
        <w:spacing w:after="20"/>
      </w:pPr>
    </w:p>
    <w:p>
      <w:pPr>
        <w:keepNext/>
        <w:spacing w:before="100" w:after="40"/>
      </w:pPr>
      <w:r>
        <w:rPr>
          <w:b/>
          <w:color w:val="17324D"/>
          <w:sz w:val="21"/>
        </w:rPr>
        <w:t>L-12  If Duckworks deploys DuckTalent, high-risk deployer duties will apply.</w:t>
      </w:r>
    </w:p>
    <w:tbl>
      <w:tblPr>
        <w:tblW w:type="auto" w:w="0"/>
        <w:jc w:val="center"/>
        <w:tblLayout w:type="fixed"/>
        <w:tblLook w:firstColumn="1" w:firstRow="1" w:lastColumn="0" w:lastRow="0" w:noHBand="0" w:noVBand="1" w:val="04A0"/>
      </w:tblPr>
      <w:tblGrid>
        <w:gridCol w:w="1944"/>
        <w:gridCol w:w="8280"/>
      </w:tblGrid>
      <w:tr>
        <w:tc>
          <w:tcPr>
            <w:tcW w:type="dxa" w:w="4946"/>
            <w:tcMar>
              <w:top w:w="80" w:type="dxa"/>
              <w:start w:w="100" w:type="dxa"/>
              <w:bottom w:w="80" w:type="dxa"/>
              <w:end w:w="100" w:type="dxa"/>
            </w:tcMar>
            <w:vAlign w:val="center"/>
            <w:shd w:fill="2A6F6B"/>
          </w:tcPr>
          <w:p>
            <w:pPr>
              <w:spacing w:after="0"/>
            </w:pPr>
            <w:r/>
            <w:r>
              <w:rPr>
                <w:rFonts w:ascii="Aptos" w:hAnsi="Aptos"/>
                <w:b/>
                <w:color w:val="FFFFFF"/>
                <w:sz w:val="16"/>
              </w:rPr>
              <w:t>Classification</w:t>
            </w:r>
          </w:p>
        </w:tc>
        <w:tc>
          <w:tcPr>
            <w:tcW w:type="dxa" w:w="4946"/>
            <w:tcMar>
              <w:top w:w="80" w:type="dxa"/>
              <w:start w:w="100" w:type="dxa"/>
              <w:bottom w:w="80" w:type="dxa"/>
              <w:end w:w="100" w:type="dxa"/>
            </w:tcMar>
            <w:vAlign w:val="center"/>
            <w:shd w:fill="FFFFFF"/>
          </w:tcPr>
          <w:p>
            <w:pPr>
              <w:spacing w:after="0"/>
            </w:pPr>
            <w:r/>
            <w:r>
              <w:rPr>
                <w:rFonts w:ascii="Aptos" w:hAnsi="Aptos"/>
                <w:b w:val="0"/>
                <w:color w:val="222222"/>
                <w:sz w:val="16"/>
              </w:rPr>
              <w:t>Future mandatory high-risk requirement</w:t>
            </w:r>
          </w:p>
        </w:tc>
      </w:tr>
      <w:tr>
        <w:tc>
          <w:tcPr>
            <w:tcW w:type="dxa" w:w="4946"/>
            <w:tcMar>
              <w:top w:w="80" w:type="dxa"/>
              <w:start w:w="100" w:type="dxa"/>
              <w:bottom w:w="80" w:type="dxa"/>
              <w:end w:w="100" w:type="dxa"/>
            </w:tcMar>
            <w:vAlign w:val="center"/>
            <w:shd w:fill="2A6F6B"/>
          </w:tcPr>
          <w:p>
            <w:pPr>
              <w:spacing w:after="0"/>
            </w:pPr>
            <w:r/>
            <w:r>
              <w:rPr>
                <w:rFonts w:ascii="Aptos" w:hAnsi="Aptos"/>
                <w:b/>
                <w:color w:val="FFFFFF"/>
                <w:sz w:val="16"/>
              </w:rPr>
              <w:t>Source / provision</w:t>
            </w:r>
          </w:p>
        </w:tc>
        <w:tc>
          <w:tcPr>
            <w:tcW w:type="dxa" w:w="4946"/>
            <w:tcMar>
              <w:top w:w="80" w:type="dxa"/>
              <w:start w:w="100" w:type="dxa"/>
              <w:bottom w:w="80" w:type="dxa"/>
              <w:end w:w="100" w:type="dxa"/>
            </w:tcMar>
            <w:vAlign w:val="center"/>
            <w:shd w:fill="F7F9FA"/>
          </w:tcPr>
          <w:p>
            <w:pPr>
              <w:spacing w:after="0"/>
            </w:pPr>
            <w:r/>
            <w:r>
              <w:rPr>
                <w:rFonts w:ascii="Aptos" w:hAnsi="Aptos"/>
                <w:b w:val="0"/>
                <w:color w:val="222222"/>
                <w:sz w:val="16"/>
              </w:rPr>
              <w:t>AI Act Art. 26 | S01</w:t>
            </w:r>
          </w:p>
        </w:tc>
      </w:tr>
      <w:tr>
        <w:tc>
          <w:tcPr>
            <w:tcW w:type="dxa" w:w="4946"/>
            <w:tcMar>
              <w:top w:w="80" w:type="dxa"/>
              <w:start w:w="100" w:type="dxa"/>
              <w:bottom w:w="80" w:type="dxa"/>
              <w:end w:w="100" w:type="dxa"/>
            </w:tcMar>
            <w:vAlign w:val="center"/>
            <w:shd w:fill="2A6F6B"/>
          </w:tcPr>
          <w:p>
            <w:pPr>
              <w:spacing w:after="0"/>
            </w:pPr>
            <w:r/>
            <w:r>
              <w:rPr>
                <w:rFonts w:ascii="Aptos" w:hAnsi="Aptos"/>
                <w:b/>
                <w:color w:val="FFFFFF"/>
                <w:sz w:val="16"/>
              </w:rPr>
              <w:t>Applicability</w:t>
            </w:r>
          </w:p>
        </w:tc>
        <w:tc>
          <w:tcPr>
            <w:tcW w:type="dxa" w:w="4946"/>
            <w:tcMar>
              <w:top w:w="80" w:type="dxa"/>
              <w:start w:w="100" w:type="dxa"/>
              <w:bottom w:w="80" w:type="dxa"/>
              <w:end w:w="100" w:type="dxa"/>
            </w:tcMar>
            <w:vAlign w:val="center"/>
            <w:shd w:fill="FFFFFF"/>
          </w:tcPr>
          <w:p>
            <w:pPr>
              <w:spacing w:after="0"/>
            </w:pPr>
            <w:r/>
            <w:r>
              <w:rPr>
                <w:rFonts w:ascii="Aptos" w:hAnsi="Aptos"/>
                <w:b w:val="0"/>
                <w:color w:val="222222"/>
                <w:sz w:val="16"/>
              </w:rPr>
              <w:t>Use per instructions, assign competent/authorised human oversight, monitor operation, manage relevant input data, retain controlled logs and notify workers/representatives where applicable.</w:t>
            </w:r>
          </w:p>
        </w:tc>
      </w:tr>
      <w:tr>
        <w:tc>
          <w:tcPr>
            <w:tcW w:type="dxa" w:w="4946"/>
            <w:tcMar>
              <w:top w:w="80" w:type="dxa"/>
              <w:start w:w="100" w:type="dxa"/>
              <w:bottom w:w="80" w:type="dxa"/>
              <w:end w:w="100" w:type="dxa"/>
            </w:tcMar>
            <w:vAlign w:val="center"/>
            <w:shd w:fill="2A6F6B"/>
          </w:tcPr>
          <w:p>
            <w:pPr>
              <w:spacing w:after="0"/>
            </w:pPr>
            <w:r/>
            <w:r>
              <w:rPr>
                <w:rFonts w:ascii="Aptos" w:hAnsi="Aptos"/>
                <w:b/>
                <w:color w:val="FFFFFF"/>
                <w:sz w:val="16"/>
              </w:rPr>
              <w:t>Timing / status</w:t>
            </w:r>
          </w:p>
        </w:tc>
        <w:tc>
          <w:tcPr>
            <w:tcW w:type="dxa" w:w="4946"/>
            <w:tcMar>
              <w:top w:w="80" w:type="dxa"/>
              <w:start w:w="100" w:type="dxa"/>
              <w:bottom w:w="80" w:type="dxa"/>
              <w:end w:w="100" w:type="dxa"/>
            </w:tcMar>
            <w:vAlign w:val="center"/>
            <w:shd w:fill="F7F9FA"/>
          </w:tcPr>
          <w:p>
            <w:pPr>
              <w:spacing w:after="0"/>
            </w:pPr>
            <w:r/>
            <w:r>
              <w:rPr>
                <w:rFonts w:ascii="Aptos" w:hAnsi="Aptos"/>
                <w:b w:val="0"/>
                <w:color w:val="222222"/>
                <w:sz w:val="16"/>
              </w:rPr>
              <w:t>From 2 Dec 2027 for Annex III route</w:t>
            </w:r>
          </w:p>
        </w:tc>
      </w:tr>
      <w:tr>
        <w:tc>
          <w:tcPr>
            <w:tcW w:type="dxa" w:w="4946"/>
            <w:tcMar>
              <w:top w:w="80" w:type="dxa"/>
              <w:start w:w="100" w:type="dxa"/>
              <w:bottom w:w="80" w:type="dxa"/>
              <w:end w:w="100" w:type="dxa"/>
            </w:tcMar>
            <w:vAlign w:val="center"/>
            <w:shd w:fill="2A6F6B"/>
          </w:tcPr>
          <w:p>
            <w:pPr>
              <w:spacing w:after="0"/>
            </w:pPr>
            <w:r/>
            <w:r>
              <w:rPr>
                <w:rFonts w:ascii="Aptos" w:hAnsi="Aptos"/>
                <w:b/>
                <w:color w:val="FFFFFF"/>
                <w:sz w:val="16"/>
              </w:rPr>
              <w:t>Uncertainty / action</w:t>
            </w:r>
          </w:p>
        </w:tc>
        <w:tc>
          <w:tcPr>
            <w:tcW w:type="dxa" w:w="4946"/>
            <w:tcMar>
              <w:top w:w="80" w:type="dxa"/>
              <w:start w:w="100" w:type="dxa"/>
              <w:bottom w:w="80" w:type="dxa"/>
              <w:end w:w="100" w:type="dxa"/>
            </w:tcMar>
            <w:vAlign w:val="center"/>
            <w:shd w:fill="FFFFFF"/>
          </w:tcPr>
          <w:p>
            <w:pPr>
              <w:spacing w:after="0"/>
            </w:pPr>
            <w:r/>
            <w:r>
              <w:rPr>
                <w:rFonts w:ascii="Aptos" w:hAnsi="Aptos"/>
                <w:b w:val="0"/>
                <w:color w:val="222222"/>
                <w:sz w:val="16"/>
              </w:rPr>
              <w:t>Uncertainty: Medium.  Duckworks action: Design the Human Oversight Standard, monitoring, log retention and workplace communication process now.</w:t>
            </w:r>
          </w:p>
        </w:tc>
      </w:tr>
    </w:tbl>
    <w:p>
      <w:pPr>
        <w:spacing w:after="20"/>
      </w:pPr>
    </w:p>
    <w:p>
      <w:pPr>
        <w:keepNext/>
        <w:spacing w:before="100" w:after="40"/>
      </w:pPr>
      <w:r>
        <w:rPr>
          <w:b/>
          <w:color w:val="17324D"/>
          <w:sz w:val="21"/>
        </w:rPr>
        <w:t>L-13  A statutory AI Act fundamental-rights impact assessment is probably not mandatory for DuckTalent solely because it is recruitment AI.</w:t>
      </w:r>
    </w:p>
    <w:tbl>
      <w:tblPr>
        <w:tblW w:type="auto" w:w="0"/>
        <w:jc w:val="center"/>
        <w:tblLayout w:type="fixed"/>
        <w:tblLook w:firstColumn="1" w:firstRow="1" w:lastColumn="0" w:lastRow="0" w:noHBand="0" w:noVBand="1" w:val="04A0"/>
      </w:tblPr>
      <w:tblGrid>
        <w:gridCol w:w="1944"/>
        <w:gridCol w:w="8280"/>
      </w:tblGrid>
      <w:tr>
        <w:tc>
          <w:tcPr>
            <w:tcW w:type="dxa" w:w="4946"/>
            <w:tcMar>
              <w:top w:w="80" w:type="dxa"/>
              <w:start w:w="100" w:type="dxa"/>
              <w:bottom w:w="80" w:type="dxa"/>
              <w:end w:w="100" w:type="dxa"/>
            </w:tcMar>
            <w:vAlign w:val="center"/>
            <w:shd w:fill="2A6F6B"/>
          </w:tcPr>
          <w:p>
            <w:pPr>
              <w:spacing w:after="0"/>
            </w:pPr>
            <w:r/>
            <w:r>
              <w:rPr>
                <w:rFonts w:ascii="Aptos" w:hAnsi="Aptos"/>
                <w:b/>
                <w:color w:val="FFFFFF"/>
                <w:sz w:val="16"/>
              </w:rPr>
              <w:t>Classification</w:t>
            </w:r>
          </w:p>
        </w:tc>
        <w:tc>
          <w:tcPr>
            <w:tcW w:type="dxa" w:w="4946"/>
            <w:tcMar>
              <w:top w:w="80" w:type="dxa"/>
              <w:start w:w="100" w:type="dxa"/>
              <w:bottom w:w="80" w:type="dxa"/>
              <w:end w:w="100" w:type="dxa"/>
            </w:tcMar>
            <w:vAlign w:val="center"/>
            <w:shd w:fill="FFFFFF"/>
          </w:tcPr>
          <w:p>
            <w:pPr>
              <w:spacing w:after="0"/>
            </w:pPr>
            <w:r/>
            <w:r>
              <w:rPr>
                <w:rFonts w:ascii="Aptos" w:hAnsi="Aptos"/>
                <w:b w:val="0"/>
                <w:color w:val="222222"/>
                <w:sz w:val="16"/>
              </w:rPr>
              <w:t>Legal applicability conclusion</w:t>
            </w:r>
          </w:p>
        </w:tc>
      </w:tr>
      <w:tr>
        <w:tc>
          <w:tcPr>
            <w:tcW w:type="dxa" w:w="4946"/>
            <w:tcMar>
              <w:top w:w="80" w:type="dxa"/>
              <w:start w:w="100" w:type="dxa"/>
              <w:bottom w:w="80" w:type="dxa"/>
              <w:end w:w="100" w:type="dxa"/>
            </w:tcMar>
            <w:vAlign w:val="center"/>
            <w:shd w:fill="2A6F6B"/>
          </w:tcPr>
          <w:p>
            <w:pPr>
              <w:spacing w:after="0"/>
            </w:pPr>
            <w:r/>
            <w:r>
              <w:rPr>
                <w:rFonts w:ascii="Aptos" w:hAnsi="Aptos"/>
                <w:b/>
                <w:color w:val="FFFFFF"/>
                <w:sz w:val="16"/>
              </w:rPr>
              <w:t>Source / provision</w:t>
            </w:r>
          </w:p>
        </w:tc>
        <w:tc>
          <w:tcPr>
            <w:tcW w:type="dxa" w:w="4946"/>
            <w:tcMar>
              <w:top w:w="80" w:type="dxa"/>
              <w:start w:w="100" w:type="dxa"/>
              <w:bottom w:w="80" w:type="dxa"/>
              <w:end w:w="100" w:type="dxa"/>
            </w:tcMar>
            <w:vAlign w:val="center"/>
            <w:shd w:fill="F7F9FA"/>
          </w:tcPr>
          <w:p>
            <w:pPr>
              <w:spacing w:after="0"/>
            </w:pPr>
            <w:r/>
            <w:r>
              <w:rPr>
                <w:rFonts w:ascii="Aptos" w:hAnsi="Aptos"/>
                <w:b w:val="0"/>
                <w:color w:val="222222"/>
                <w:sz w:val="16"/>
              </w:rPr>
              <w:t>AI Act Art. 27 | S01</w:t>
            </w:r>
          </w:p>
        </w:tc>
      </w:tr>
      <w:tr>
        <w:tc>
          <w:tcPr>
            <w:tcW w:type="dxa" w:w="4946"/>
            <w:tcMar>
              <w:top w:w="80" w:type="dxa"/>
              <w:start w:w="100" w:type="dxa"/>
              <w:bottom w:w="80" w:type="dxa"/>
              <w:end w:w="100" w:type="dxa"/>
            </w:tcMar>
            <w:vAlign w:val="center"/>
            <w:shd w:fill="2A6F6B"/>
          </w:tcPr>
          <w:p>
            <w:pPr>
              <w:spacing w:after="0"/>
            </w:pPr>
            <w:r/>
            <w:r>
              <w:rPr>
                <w:rFonts w:ascii="Aptos" w:hAnsi="Aptos"/>
                <w:b/>
                <w:color w:val="FFFFFF"/>
                <w:sz w:val="16"/>
              </w:rPr>
              <w:t>Applicability</w:t>
            </w:r>
          </w:p>
        </w:tc>
        <w:tc>
          <w:tcPr>
            <w:tcW w:type="dxa" w:w="4946"/>
            <w:tcMar>
              <w:top w:w="80" w:type="dxa"/>
              <w:start w:w="100" w:type="dxa"/>
              <w:bottom w:w="80" w:type="dxa"/>
              <w:end w:w="100" w:type="dxa"/>
            </w:tcMar>
            <w:vAlign w:val="center"/>
            <w:shd w:fill="FFFFFF"/>
          </w:tcPr>
          <w:p>
            <w:pPr>
              <w:spacing w:after="0"/>
            </w:pPr>
            <w:r/>
            <w:r>
              <w:rPr>
                <w:rFonts w:ascii="Aptos" w:hAnsi="Aptos"/>
                <w:b w:val="0"/>
                <w:color w:val="222222"/>
                <w:sz w:val="16"/>
              </w:rPr>
              <w:t>Art. 27 targets specified deployers, including bodies governed by public law, private entities providing public services, and certain Annex III 5(b)/(c) deployers. Duckworks is a private manufacturer and DuckTalent is Annex III point 4.</w:t>
            </w:r>
          </w:p>
        </w:tc>
      </w:tr>
      <w:tr>
        <w:tc>
          <w:tcPr>
            <w:tcW w:type="dxa" w:w="4946"/>
            <w:tcMar>
              <w:top w:w="80" w:type="dxa"/>
              <w:start w:w="100" w:type="dxa"/>
              <w:bottom w:w="80" w:type="dxa"/>
              <w:end w:w="100" w:type="dxa"/>
            </w:tcMar>
            <w:vAlign w:val="center"/>
            <w:shd w:fill="2A6F6B"/>
          </w:tcPr>
          <w:p>
            <w:pPr>
              <w:spacing w:after="0"/>
            </w:pPr>
            <w:r/>
            <w:r>
              <w:rPr>
                <w:rFonts w:ascii="Aptos" w:hAnsi="Aptos"/>
                <w:b/>
                <w:color w:val="FFFFFF"/>
                <w:sz w:val="16"/>
              </w:rPr>
              <w:t>Timing / status</w:t>
            </w:r>
          </w:p>
        </w:tc>
        <w:tc>
          <w:tcPr>
            <w:tcW w:type="dxa" w:w="4946"/>
            <w:tcMar>
              <w:top w:w="80" w:type="dxa"/>
              <w:start w:w="100" w:type="dxa"/>
              <w:bottom w:w="80" w:type="dxa"/>
              <w:end w:w="100" w:type="dxa"/>
            </w:tcMar>
            <w:vAlign w:val="center"/>
            <w:shd w:fill="F7F9FA"/>
          </w:tcPr>
          <w:p>
            <w:pPr>
              <w:spacing w:after="0"/>
            </w:pPr>
            <w:r/>
            <w:r>
              <w:rPr>
                <w:rFonts w:ascii="Aptos" w:hAnsi="Aptos"/>
                <w:b w:val="0"/>
                <w:color w:val="222222"/>
                <w:sz w:val="16"/>
              </w:rPr>
              <w:t>When corresponding high-risk duties apply</w:t>
            </w:r>
          </w:p>
        </w:tc>
      </w:tr>
      <w:tr>
        <w:tc>
          <w:tcPr>
            <w:tcW w:type="dxa" w:w="4946"/>
            <w:tcMar>
              <w:top w:w="80" w:type="dxa"/>
              <w:start w:w="100" w:type="dxa"/>
              <w:bottom w:w="80" w:type="dxa"/>
              <w:end w:w="100" w:type="dxa"/>
            </w:tcMar>
            <w:vAlign w:val="center"/>
            <w:shd w:fill="2A6F6B"/>
          </w:tcPr>
          <w:p>
            <w:pPr>
              <w:spacing w:after="0"/>
            </w:pPr>
            <w:r/>
            <w:r>
              <w:rPr>
                <w:rFonts w:ascii="Aptos" w:hAnsi="Aptos"/>
                <w:b/>
                <w:color w:val="FFFFFF"/>
                <w:sz w:val="16"/>
              </w:rPr>
              <w:t>Uncertainty / action</w:t>
            </w:r>
          </w:p>
        </w:tc>
        <w:tc>
          <w:tcPr>
            <w:tcW w:type="dxa" w:w="4946"/>
            <w:tcMar>
              <w:top w:w="80" w:type="dxa"/>
              <w:start w:w="100" w:type="dxa"/>
              <w:bottom w:w="80" w:type="dxa"/>
              <w:end w:w="100" w:type="dxa"/>
            </w:tcMar>
            <w:vAlign w:val="center"/>
            <w:shd w:fill="FFFFFF"/>
          </w:tcPr>
          <w:p>
            <w:pPr>
              <w:spacing w:after="0"/>
            </w:pPr>
            <w:r/>
            <w:r>
              <w:rPr>
                <w:rFonts w:ascii="Aptos" w:hAnsi="Aptos"/>
                <w:b w:val="0"/>
                <w:color w:val="222222"/>
                <w:sz w:val="16"/>
              </w:rPr>
              <w:t>Uncertainty: Medium.  Duckworks action: Keep the Duckworks AIA as an internal/ISO-aligned impact assessment; do not label it an Art. 27 FRIA unless facts change.</w:t>
            </w:r>
          </w:p>
        </w:tc>
      </w:tr>
    </w:tbl>
    <w:p>
      <w:pPr>
        <w:spacing w:after="20"/>
      </w:pPr>
    </w:p>
    <w:p>
      <w:pPr>
        <w:keepNext/>
        <w:spacing w:before="100" w:after="40"/>
      </w:pPr>
      <w:r>
        <w:rPr>
          <w:b/>
          <w:color w:val="17324D"/>
          <w:sz w:val="21"/>
        </w:rPr>
        <w:t>L-14  Material rebranding, substantial modification or change of intended purpose can shift provider responsibility to Duckworks.</w:t>
      </w:r>
    </w:p>
    <w:tbl>
      <w:tblPr>
        <w:tblW w:type="auto" w:w="0"/>
        <w:jc w:val="center"/>
        <w:tblLayout w:type="fixed"/>
        <w:tblLook w:firstColumn="1" w:firstRow="1" w:lastColumn="0" w:lastRow="0" w:noHBand="0" w:noVBand="1" w:val="04A0"/>
      </w:tblPr>
      <w:tblGrid>
        <w:gridCol w:w="1944"/>
        <w:gridCol w:w="8280"/>
      </w:tblGrid>
      <w:tr>
        <w:tc>
          <w:tcPr>
            <w:tcW w:type="dxa" w:w="4946"/>
            <w:tcMar>
              <w:top w:w="80" w:type="dxa"/>
              <w:start w:w="100" w:type="dxa"/>
              <w:bottom w:w="80" w:type="dxa"/>
              <w:end w:w="100" w:type="dxa"/>
            </w:tcMar>
            <w:vAlign w:val="center"/>
            <w:shd w:fill="2A6F6B"/>
          </w:tcPr>
          <w:p>
            <w:pPr>
              <w:spacing w:after="0"/>
            </w:pPr>
            <w:r/>
            <w:r>
              <w:rPr>
                <w:rFonts w:ascii="Aptos" w:hAnsi="Aptos"/>
                <w:b/>
                <w:color w:val="FFFFFF"/>
                <w:sz w:val="16"/>
              </w:rPr>
              <w:t>Classification</w:t>
            </w:r>
          </w:p>
        </w:tc>
        <w:tc>
          <w:tcPr>
            <w:tcW w:type="dxa" w:w="4946"/>
            <w:tcMar>
              <w:top w:w="80" w:type="dxa"/>
              <w:start w:w="100" w:type="dxa"/>
              <w:bottom w:w="80" w:type="dxa"/>
              <w:end w:w="100" w:type="dxa"/>
            </w:tcMar>
            <w:vAlign w:val="center"/>
            <w:shd w:fill="FFFFFF"/>
          </w:tcPr>
          <w:p>
            <w:pPr>
              <w:spacing w:after="0"/>
            </w:pPr>
            <w:r/>
            <w:r>
              <w:rPr>
                <w:rFonts w:ascii="Aptos" w:hAnsi="Aptos"/>
                <w:b w:val="0"/>
                <w:color w:val="222222"/>
                <w:sz w:val="16"/>
              </w:rPr>
              <w:t>Future mandatory high-risk requirement</w:t>
            </w:r>
          </w:p>
        </w:tc>
      </w:tr>
      <w:tr>
        <w:tc>
          <w:tcPr>
            <w:tcW w:type="dxa" w:w="4946"/>
            <w:tcMar>
              <w:top w:w="80" w:type="dxa"/>
              <w:start w:w="100" w:type="dxa"/>
              <w:bottom w:w="80" w:type="dxa"/>
              <w:end w:w="100" w:type="dxa"/>
            </w:tcMar>
            <w:vAlign w:val="center"/>
            <w:shd w:fill="2A6F6B"/>
          </w:tcPr>
          <w:p>
            <w:pPr>
              <w:spacing w:after="0"/>
            </w:pPr>
            <w:r/>
            <w:r>
              <w:rPr>
                <w:rFonts w:ascii="Aptos" w:hAnsi="Aptos"/>
                <w:b/>
                <w:color w:val="FFFFFF"/>
                <w:sz w:val="16"/>
              </w:rPr>
              <w:t>Source / provision</w:t>
            </w:r>
          </w:p>
        </w:tc>
        <w:tc>
          <w:tcPr>
            <w:tcW w:type="dxa" w:w="4946"/>
            <w:tcMar>
              <w:top w:w="80" w:type="dxa"/>
              <w:start w:w="100" w:type="dxa"/>
              <w:bottom w:w="80" w:type="dxa"/>
              <w:end w:w="100" w:type="dxa"/>
            </w:tcMar>
            <w:vAlign w:val="center"/>
            <w:shd w:fill="F7F9FA"/>
          </w:tcPr>
          <w:p>
            <w:pPr>
              <w:spacing w:after="0"/>
            </w:pPr>
            <w:r/>
            <w:r>
              <w:rPr>
                <w:rFonts w:ascii="Aptos" w:hAnsi="Aptos"/>
                <w:b w:val="0"/>
                <w:color w:val="222222"/>
                <w:sz w:val="16"/>
              </w:rPr>
              <w:t>AI Act Art. 25 | S01</w:t>
            </w:r>
          </w:p>
        </w:tc>
      </w:tr>
      <w:tr>
        <w:tc>
          <w:tcPr>
            <w:tcW w:type="dxa" w:w="4946"/>
            <w:tcMar>
              <w:top w:w="80" w:type="dxa"/>
              <w:start w:w="100" w:type="dxa"/>
              <w:bottom w:w="80" w:type="dxa"/>
              <w:end w:w="100" w:type="dxa"/>
            </w:tcMar>
            <w:vAlign w:val="center"/>
            <w:shd w:fill="2A6F6B"/>
          </w:tcPr>
          <w:p>
            <w:pPr>
              <w:spacing w:after="0"/>
            </w:pPr>
            <w:r/>
            <w:r>
              <w:rPr>
                <w:rFonts w:ascii="Aptos" w:hAnsi="Aptos"/>
                <w:b/>
                <w:color w:val="FFFFFF"/>
                <w:sz w:val="16"/>
              </w:rPr>
              <w:t>Applicability</w:t>
            </w:r>
          </w:p>
        </w:tc>
        <w:tc>
          <w:tcPr>
            <w:tcW w:type="dxa" w:w="4946"/>
            <w:tcMar>
              <w:top w:w="80" w:type="dxa"/>
              <w:start w:w="100" w:type="dxa"/>
              <w:bottom w:w="80" w:type="dxa"/>
              <w:end w:w="100" w:type="dxa"/>
            </w:tcMar>
            <w:vAlign w:val="center"/>
            <w:shd w:fill="FFFFFF"/>
          </w:tcPr>
          <w:p>
            <w:pPr>
              <w:spacing w:after="0"/>
            </w:pPr>
            <w:r/>
            <w:r>
              <w:rPr>
                <w:rFonts w:ascii="Aptos" w:hAnsi="Aptos"/>
                <w:b w:val="0"/>
                <w:color w:val="222222"/>
                <w:sz w:val="16"/>
              </w:rPr>
              <w:t>Especially relevant for vendor AI that Duckworks rebrands, materially modifies or changes into a high-risk intended purpose.</w:t>
            </w:r>
          </w:p>
        </w:tc>
      </w:tr>
      <w:tr>
        <w:tc>
          <w:tcPr>
            <w:tcW w:type="dxa" w:w="4946"/>
            <w:tcMar>
              <w:top w:w="80" w:type="dxa"/>
              <w:start w:w="100" w:type="dxa"/>
              <w:bottom w:w="80" w:type="dxa"/>
              <w:end w:w="100" w:type="dxa"/>
            </w:tcMar>
            <w:vAlign w:val="center"/>
            <w:shd w:fill="2A6F6B"/>
          </w:tcPr>
          <w:p>
            <w:pPr>
              <w:spacing w:after="0"/>
            </w:pPr>
            <w:r/>
            <w:r>
              <w:rPr>
                <w:rFonts w:ascii="Aptos" w:hAnsi="Aptos"/>
                <w:b/>
                <w:color w:val="FFFFFF"/>
                <w:sz w:val="16"/>
              </w:rPr>
              <w:t>Timing / status</w:t>
            </w:r>
          </w:p>
        </w:tc>
        <w:tc>
          <w:tcPr>
            <w:tcW w:type="dxa" w:w="4946"/>
            <w:tcMar>
              <w:top w:w="80" w:type="dxa"/>
              <w:start w:w="100" w:type="dxa"/>
              <w:bottom w:w="80" w:type="dxa"/>
              <w:end w:w="100" w:type="dxa"/>
            </w:tcMar>
            <w:vAlign w:val="center"/>
            <w:shd w:fill="F7F9FA"/>
          </w:tcPr>
          <w:p>
            <w:pPr>
              <w:spacing w:after="0"/>
            </w:pPr>
            <w:r/>
            <w:r>
              <w:rPr>
                <w:rFonts w:ascii="Aptos" w:hAnsi="Aptos"/>
                <w:b w:val="0"/>
                <w:color w:val="222222"/>
                <w:sz w:val="16"/>
              </w:rPr>
              <w:t>As applicable to high-risk systems/value-chain roles</w:t>
            </w:r>
          </w:p>
        </w:tc>
      </w:tr>
      <w:tr>
        <w:tc>
          <w:tcPr>
            <w:tcW w:type="dxa" w:w="4946"/>
            <w:tcMar>
              <w:top w:w="80" w:type="dxa"/>
              <w:start w:w="100" w:type="dxa"/>
              <w:bottom w:w="80" w:type="dxa"/>
              <w:end w:w="100" w:type="dxa"/>
            </w:tcMar>
            <w:vAlign w:val="center"/>
            <w:shd w:fill="2A6F6B"/>
          </w:tcPr>
          <w:p>
            <w:pPr>
              <w:spacing w:after="0"/>
            </w:pPr>
            <w:r/>
            <w:r>
              <w:rPr>
                <w:rFonts w:ascii="Aptos" w:hAnsi="Aptos"/>
                <w:b/>
                <w:color w:val="FFFFFF"/>
                <w:sz w:val="16"/>
              </w:rPr>
              <w:t>Uncertainty / action</w:t>
            </w:r>
          </w:p>
        </w:tc>
        <w:tc>
          <w:tcPr>
            <w:tcW w:type="dxa" w:w="4946"/>
            <w:tcMar>
              <w:top w:w="80" w:type="dxa"/>
              <w:start w:w="100" w:type="dxa"/>
              <w:bottom w:w="80" w:type="dxa"/>
              <w:end w:w="100" w:type="dxa"/>
            </w:tcMar>
            <w:vAlign w:val="center"/>
            <w:shd w:fill="FFFFFF"/>
          </w:tcPr>
          <w:p>
            <w:pPr>
              <w:spacing w:after="0"/>
            </w:pPr>
            <w:r/>
            <w:r>
              <w:rPr>
                <w:rFonts w:ascii="Aptos" w:hAnsi="Aptos"/>
                <w:b w:val="0"/>
                <w:color w:val="222222"/>
                <w:sz w:val="16"/>
              </w:rPr>
              <w:t>Uncertainty: High.  Duckworks action: Add provider-role reassessment triggers to change management and vendor governance.</w:t>
            </w:r>
          </w:p>
        </w:tc>
      </w:tr>
    </w:tbl>
    <w:p>
      <w:pPr>
        <w:spacing w:after="20"/>
      </w:pPr>
    </w:p>
    <w:p>
      <w:pPr>
        <w:keepNext/>
        <w:spacing w:before="100" w:after="40"/>
      </w:pPr>
      <w:r>
        <w:rPr>
          <w:b/>
          <w:color w:val="17324D"/>
          <w:sz w:val="21"/>
        </w:rPr>
        <w:t>L-15  Annex III and product-route high-risk AI have different application dates after the 2026 amendment.</w:t>
      </w:r>
    </w:p>
    <w:tbl>
      <w:tblPr>
        <w:tblW w:type="auto" w:w="0"/>
        <w:jc w:val="center"/>
        <w:tblLayout w:type="fixed"/>
        <w:tblLook w:firstColumn="1" w:firstRow="1" w:lastColumn="0" w:lastRow="0" w:noHBand="0" w:noVBand="1" w:val="04A0"/>
      </w:tblPr>
      <w:tblGrid>
        <w:gridCol w:w="1944"/>
        <w:gridCol w:w="8280"/>
      </w:tblGrid>
      <w:tr>
        <w:tc>
          <w:tcPr>
            <w:tcW w:type="dxa" w:w="4946"/>
            <w:tcMar>
              <w:top w:w="80" w:type="dxa"/>
              <w:start w:w="100" w:type="dxa"/>
              <w:bottom w:w="80" w:type="dxa"/>
              <w:end w:w="100" w:type="dxa"/>
            </w:tcMar>
            <w:vAlign w:val="center"/>
            <w:shd w:fill="2A6F6B"/>
          </w:tcPr>
          <w:p>
            <w:pPr>
              <w:spacing w:after="0"/>
            </w:pPr>
            <w:r/>
            <w:r>
              <w:rPr>
                <w:rFonts w:ascii="Aptos" w:hAnsi="Aptos"/>
                <w:b/>
                <w:color w:val="FFFFFF"/>
                <w:sz w:val="16"/>
              </w:rPr>
              <w:t>Classification</w:t>
            </w:r>
          </w:p>
        </w:tc>
        <w:tc>
          <w:tcPr>
            <w:tcW w:type="dxa" w:w="4946"/>
            <w:tcMar>
              <w:top w:w="80" w:type="dxa"/>
              <w:start w:w="100" w:type="dxa"/>
              <w:bottom w:w="80" w:type="dxa"/>
              <w:end w:w="100" w:type="dxa"/>
            </w:tcMar>
            <w:vAlign w:val="center"/>
            <w:shd w:fill="FFFFFF"/>
          </w:tcPr>
          <w:p>
            <w:pPr>
              <w:spacing w:after="0"/>
            </w:pPr>
            <w:r/>
            <w:r>
              <w:rPr>
                <w:rFonts w:ascii="Aptos" w:hAnsi="Aptos"/>
                <w:b w:val="0"/>
                <w:color w:val="222222"/>
                <w:sz w:val="16"/>
              </w:rPr>
              <w:t>Mandatory legal timing</w:t>
            </w:r>
          </w:p>
        </w:tc>
      </w:tr>
      <w:tr>
        <w:tc>
          <w:tcPr>
            <w:tcW w:type="dxa" w:w="4946"/>
            <w:tcMar>
              <w:top w:w="80" w:type="dxa"/>
              <w:start w:w="100" w:type="dxa"/>
              <w:bottom w:w="80" w:type="dxa"/>
              <w:end w:w="100" w:type="dxa"/>
            </w:tcMar>
            <w:vAlign w:val="center"/>
            <w:shd w:fill="2A6F6B"/>
          </w:tcPr>
          <w:p>
            <w:pPr>
              <w:spacing w:after="0"/>
            </w:pPr>
            <w:r/>
            <w:r>
              <w:rPr>
                <w:rFonts w:ascii="Aptos" w:hAnsi="Aptos"/>
                <w:b/>
                <w:color w:val="FFFFFF"/>
                <w:sz w:val="16"/>
              </w:rPr>
              <w:t>Source / provision</w:t>
            </w:r>
          </w:p>
        </w:tc>
        <w:tc>
          <w:tcPr>
            <w:tcW w:type="dxa" w:w="4946"/>
            <w:tcMar>
              <w:top w:w="80" w:type="dxa"/>
              <w:start w:w="100" w:type="dxa"/>
              <w:bottom w:w="80" w:type="dxa"/>
              <w:end w:w="100" w:type="dxa"/>
            </w:tcMar>
            <w:vAlign w:val="center"/>
            <w:shd w:fill="F7F9FA"/>
          </w:tcPr>
          <w:p>
            <w:pPr>
              <w:spacing w:after="0"/>
            </w:pPr>
            <w:r/>
            <w:r>
              <w:rPr>
                <w:rFonts w:ascii="Aptos" w:hAnsi="Aptos"/>
                <w:b w:val="0"/>
                <w:color w:val="222222"/>
                <w:sz w:val="16"/>
              </w:rPr>
              <w:t>AI Act Art. 113 as amended by Regulation (EU) 2026/1744 | S02, S03</w:t>
            </w:r>
          </w:p>
        </w:tc>
      </w:tr>
      <w:tr>
        <w:tc>
          <w:tcPr>
            <w:tcW w:type="dxa" w:w="4946"/>
            <w:tcMar>
              <w:top w:w="80" w:type="dxa"/>
              <w:start w:w="100" w:type="dxa"/>
              <w:bottom w:w="80" w:type="dxa"/>
              <w:end w:w="100" w:type="dxa"/>
            </w:tcMar>
            <w:vAlign w:val="center"/>
            <w:shd w:fill="2A6F6B"/>
          </w:tcPr>
          <w:p>
            <w:pPr>
              <w:spacing w:after="0"/>
            </w:pPr>
            <w:r/>
            <w:r>
              <w:rPr>
                <w:rFonts w:ascii="Aptos" w:hAnsi="Aptos"/>
                <w:b/>
                <w:color w:val="FFFFFF"/>
                <w:sz w:val="16"/>
              </w:rPr>
              <w:t>Applicability</w:t>
            </w:r>
          </w:p>
        </w:tc>
        <w:tc>
          <w:tcPr>
            <w:tcW w:type="dxa" w:w="4946"/>
            <w:tcMar>
              <w:top w:w="80" w:type="dxa"/>
              <w:start w:w="100" w:type="dxa"/>
              <w:bottom w:w="80" w:type="dxa"/>
              <w:end w:w="100" w:type="dxa"/>
            </w:tcMar>
            <w:vAlign w:val="center"/>
            <w:shd w:fill="FFFFFF"/>
          </w:tcPr>
          <w:p>
            <w:pPr>
              <w:spacing w:after="0"/>
            </w:pPr>
            <w:r/>
            <w:r>
              <w:rPr>
                <w:rFonts w:ascii="Aptos" w:hAnsi="Aptos"/>
                <w:b w:val="0"/>
                <w:color w:val="222222"/>
                <w:sz w:val="16"/>
              </w:rPr>
              <w:t>DuckTalent follows the Annex III timeline; product-integrated safety AI may follow the Annex I/product route.</w:t>
            </w:r>
          </w:p>
        </w:tc>
      </w:tr>
      <w:tr>
        <w:tc>
          <w:tcPr>
            <w:tcW w:type="dxa" w:w="4946"/>
            <w:tcMar>
              <w:top w:w="80" w:type="dxa"/>
              <w:start w:w="100" w:type="dxa"/>
              <w:bottom w:w="80" w:type="dxa"/>
              <w:end w:w="100" w:type="dxa"/>
            </w:tcMar>
            <w:vAlign w:val="center"/>
            <w:shd w:fill="2A6F6B"/>
          </w:tcPr>
          <w:p>
            <w:pPr>
              <w:spacing w:after="0"/>
            </w:pPr>
            <w:r/>
            <w:r>
              <w:rPr>
                <w:rFonts w:ascii="Aptos" w:hAnsi="Aptos"/>
                <w:b/>
                <w:color w:val="FFFFFF"/>
                <w:sz w:val="16"/>
              </w:rPr>
              <w:t>Timing / status</w:t>
            </w:r>
          </w:p>
        </w:tc>
        <w:tc>
          <w:tcPr>
            <w:tcW w:type="dxa" w:w="4946"/>
            <w:tcMar>
              <w:top w:w="80" w:type="dxa"/>
              <w:start w:w="100" w:type="dxa"/>
              <w:bottom w:w="80" w:type="dxa"/>
              <w:end w:w="100" w:type="dxa"/>
            </w:tcMar>
            <w:vAlign w:val="center"/>
            <w:shd w:fill="F7F9FA"/>
          </w:tcPr>
          <w:p>
            <w:pPr>
              <w:spacing w:after="0"/>
            </w:pPr>
            <w:r/>
            <w:r>
              <w:rPr>
                <w:rFonts w:ascii="Aptos" w:hAnsi="Aptos"/>
                <w:b w:val="0"/>
                <w:color w:val="222222"/>
                <w:sz w:val="16"/>
              </w:rPr>
              <w:t>Annex III: 2 Dec 2027; product route Art. 6(1): 2 Aug 2028</w:t>
            </w:r>
          </w:p>
        </w:tc>
      </w:tr>
      <w:tr>
        <w:tc>
          <w:tcPr>
            <w:tcW w:type="dxa" w:w="4946"/>
            <w:tcMar>
              <w:top w:w="80" w:type="dxa"/>
              <w:start w:w="100" w:type="dxa"/>
              <w:bottom w:w="80" w:type="dxa"/>
              <w:end w:w="100" w:type="dxa"/>
            </w:tcMar>
            <w:vAlign w:val="center"/>
            <w:shd w:fill="2A6F6B"/>
          </w:tcPr>
          <w:p>
            <w:pPr>
              <w:spacing w:after="0"/>
            </w:pPr>
            <w:r/>
            <w:r>
              <w:rPr>
                <w:rFonts w:ascii="Aptos" w:hAnsi="Aptos"/>
                <w:b/>
                <w:color w:val="FFFFFF"/>
                <w:sz w:val="16"/>
              </w:rPr>
              <w:t>Uncertainty / action</w:t>
            </w:r>
          </w:p>
        </w:tc>
        <w:tc>
          <w:tcPr>
            <w:tcW w:type="dxa" w:w="4946"/>
            <w:tcMar>
              <w:top w:w="80" w:type="dxa"/>
              <w:start w:w="100" w:type="dxa"/>
              <w:bottom w:w="80" w:type="dxa"/>
              <w:end w:w="100" w:type="dxa"/>
            </w:tcMar>
            <w:vAlign w:val="center"/>
            <w:shd w:fill="FFFFFF"/>
          </w:tcPr>
          <w:p>
            <w:pPr>
              <w:spacing w:after="0"/>
            </w:pPr>
            <w:r/>
            <w:r>
              <w:rPr>
                <w:rFonts w:ascii="Aptos" w:hAnsi="Aptos"/>
                <w:b w:val="0"/>
                <w:color w:val="222222"/>
                <w:sz w:val="16"/>
              </w:rPr>
              <w:t>Uncertainty: Low.  Duckworks action: Keep the dates explicitly separated in all portfolio documents and dashboards.</w:t>
            </w:r>
          </w:p>
        </w:tc>
      </w:tr>
    </w:tbl>
    <w:p>
      <w:pPr>
        <w:spacing w:after="20"/>
      </w:pPr>
    </w:p>
    <w:p>
      <w:pPr>
        <w:keepNext/>
        <w:spacing w:before="100" w:after="40"/>
      </w:pPr>
      <w:r>
        <w:rPr>
          <w:b/>
          <w:color w:val="17324D"/>
          <w:sz w:val="21"/>
        </w:rPr>
        <w:t>L-16  GDPR applies independently of AI Act risk classification whenever personal data are processed.</w:t>
      </w:r>
    </w:p>
    <w:tbl>
      <w:tblPr>
        <w:tblW w:type="auto" w:w="0"/>
        <w:jc w:val="center"/>
        <w:tblLayout w:type="fixed"/>
        <w:tblLook w:firstColumn="1" w:firstRow="1" w:lastColumn="0" w:lastRow="0" w:noHBand="0" w:noVBand="1" w:val="04A0"/>
      </w:tblPr>
      <w:tblGrid>
        <w:gridCol w:w="1944"/>
        <w:gridCol w:w="8280"/>
      </w:tblGrid>
      <w:tr>
        <w:tc>
          <w:tcPr>
            <w:tcW w:type="dxa" w:w="4946"/>
            <w:tcMar>
              <w:top w:w="80" w:type="dxa"/>
              <w:start w:w="100" w:type="dxa"/>
              <w:bottom w:w="80" w:type="dxa"/>
              <w:end w:w="100" w:type="dxa"/>
            </w:tcMar>
            <w:vAlign w:val="center"/>
            <w:shd w:fill="2A6F6B"/>
          </w:tcPr>
          <w:p>
            <w:pPr>
              <w:spacing w:after="0"/>
            </w:pPr>
            <w:r/>
            <w:r>
              <w:rPr>
                <w:rFonts w:ascii="Aptos" w:hAnsi="Aptos"/>
                <w:b/>
                <w:color w:val="FFFFFF"/>
                <w:sz w:val="16"/>
              </w:rPr>
              <w:t>Classification</w:t>
            </w:r>
          </w:p>
        </w:tc>
        <w:tc>
          <w:tcPr>
            <w:tcW w:type="dxa" w:w="4946"/>
            <w:tcMar>
              <w:top w:w="80" w:type="dxa"/>
              <w:start w:w="100" w:type="dxa"/>
              <w:bottom w:w="80" w:type="dxa"/>
              <w:end w:w="100" w:type="dxa"/>
            </w:tcMar>
            <w:vAlign w:val="center"/>
            <w:shd w:fill="FFFFFF"/>
          </w:tcPr>
          <w:p>
            <w:pPr>
              <w:spacing w:after="0"/>
            </w:pPr>
            <w:r/>
            <w:r>
              <w:rPr>
                <w:rFonts w:ascii="Aptos" w:hAnsi="Aptos"/>
                <w:b w:val="0"/>
                <w:color w:val="222222"/>
                <w:sz w:val="16"/>
              </w:rPr>
              <w:t>Mandatory legal requirement</w:t>
            </w:r>
          </w:p>
        </w:tc>
      </w:tr>
      <w:tr>
        <w:tc>
          <w:tcPr>
            <w:tcW w:type="dxa" w:w="4946"/>
            <w:tcMar>
              <w:top w:w="80" w:type="dxa"/>
              <w:start w:w="100" w:type="dxa"/>
              <w:bottom w:w="80" w:type="dxa"/>
              <w:end w:w="100" w:type="dxa"/>
            </w:tcMar>
            <w:vAlign w:val="center"/>
            <w:shd w:fill="2A6F6B"/>
          </w:tcPr>
          <w:p>
            <w:pPr>
              <w:spacing w:after="0"/>
            </w:pPr>
            <w:r/>
            <w:r>
              <w:rPr>
                <w:rFonts w:ascii="Aptos" w:hAnsi="Aptos"/>
                <w:b/>
                <w:color w:val="FFFFFF"/>
                <w:sz w:val="16"/>
              </w:rPr>
              <w:t>Source / provision</w:t>
            </w:r>
          </w:p>
        </w:tc>
        <w:tc>
          <w:tcPr>
            <w:tcW w:type="dxa" w:w="4946"/>
            <w:tcMar>
              <w:top w:w="80" w:type="dxa"/>
              <w:start w:w="100" w:type="dxa"/>
              <w:bottom w:w="80" w:type="dxa"/>
              <w:end w:w="100" w:type="dxa"/>
            </w:tcMar>
            <w:vAlign w:val="center"/>
            <w:shd w:fill="F7F9FA"/>
          </w:tcPr>
          <w:p>
            <w:pPr>
              <w:spacing w:after="0"/>
            </w:pPr>
            <w:r/>
            <w:r>
              <w:rPr>
                <w:rFonts w:ascii="Aptos" w:hAnsi="Aptos"/>
                <w:b w:val="0"/>
                <w:color w:val="222222"/>
                <w:sz w:val="16"/>
              </w:rPr>
              <w:t>GDPR Arts. 3-6, 9, 13-15, 24-25, 28, 32 | S10</w:t>
            </w:r>
          </w:p>
        </w:tc>
      </w:tr>
      <w:tr>
        <w:tc>
          <w:tcPr>
            <w:tcW w:type="dxa" w:w="4946"/>
            <w:tcMar>
              <w:top w:w="80" w:type="dxa"/>
              <w:start w:w="100" w:type="dxa"/>
              <w:bottom w:w="80" w:type="dxa"/>
              <w:end w:w="100" w:type="dxa"/>
            </w:tcMar>
            <w:vAlign w:val="center"/>
            <w:shd w:fill="2A6F6B"/>
          </w:tcPr>
          <w:p>
            <w:pPr>
              <w:spacing w:after="0"/>
            </w:pPr>
            <w:r/>
            <w:r>
              <w:rPr>
                <w:rFonts w:ascii="Aptos" w:hAnsi="Aptos"/>
                <w:b/>
                <w:color w:val="FFFFFF"/>
                <w:sz w:val="16"/>
              </w:rPr>
              <w:t>Applicability</w:t>
            </w:r>
          </w:p>
        </w:tc>
        <w:tc>
          <w:tcPr>
            <w:tcW w:type="dxa" w:w="4946"/>
            <w:tcMar>
              <w:top w:w="80" w:type="dxa"/>
              <w:start w:w="100" w:type="dxa"/>
              <w:bottom w:w="80" w:type="dxa"/>
              <w:end w:w="100" w:type="dxa"/>
            </w:tcMar>
            <w:vAlign w:val="center"/>
            <w:shd w:fill="FFFFFF"/>
          </w:tcPr>
          <w:p>
            <w:pPr>
              <w:spacing w:after="0"/>
            </w:pPr>
            <w:r/>
            <w:r>
              <w:rPr>
                <w:rFonts w:ascii="Aptos" w:hAnsi="Aptos"/>
                <w:b w:val="0"/>
                <w:color w:val="222222"/>
                <w:sz w:val="16"/>
              </w:rPr>
              <w:t>Strong relevance to DuckTalent; likely relevance to QuackBot and PondGPT; possible relevance elsewhere.</w:t>
            </w:r>
          </w:p>
        </w:tc>
      </w:tr>
      <w:tr>
        <w:tc>
          <w:tcPr>
            <w:tcW w:type="dxa" w:w="4946"/>
            <w:tcMar>
              <w:top w:w="80" w:type="dxa"/>
              <w:start w:w="100" w:type="dxa"/>
              <w:bottom w:w="80" w:type="dxa"/>
              <w:end w:w="100" w:type="dxa"/>
            </w:tcMar>
            <w:vAlign w:val="center"/>
            <w:shd w:fill="2A6F6B"/>
          </w:tcPr>
          <w:p>
            <w:pPr>
              <w:spacing w:after="0"/>
            </w:pPr>
            <w:r/>
            <w:r>
              <w:rPr>
                <w:rFonts w:ascii="Aptos" w:hAnsi="Aptos"/>
                <w:b/>
                <w:color w:val="FFFFFF"/>
                <w:sz w:val="16"/>
              </w:rPr>
              <w:t>Timing / status</w:t>
            </w:r>
          </w:p>
        </w:tc>
        <w:tc>
          <w:tcPr>
            <w:tcW w:type="dxa" w:w="4946"/>
            <w:tcMar>
              <w:top w:w="80" w:type="dxa"/>
              <w:start w:w="100" w:type="dxa"/>
              <w:bottom w:w="80" w:type="dxa"/>
              <w:end w:w="100" w:type="dxa"/>
            </w:tcMar>
            <w:vAlign w:val="center"/>
            <w:shd w:fill="F7F9FA"/>
          </w:tcPr>
          <w:p>
            <w:pPr>
              <w:spacing w:after="0"/>
            </w:pPr>
            <w:r/>
            <w:r>
              <w:rPr>
                <w:rFonts w:ascii="Aptos" w:hAnsi="Aptos"/>
                <w:b w:val="0"/>
                <w:color w:val="222222"/>
                <w:sz w:val="16"/>
              </w:rPr>
              <w:t>Current</w:t>
            </w:r>
          </w:p>
        </w:tc>
      </w:tr>
      <w:tr>
        <w:tc>
          <w:tcPr>
            <w:tcW w:type="dxa" w:w="4946"/>
            <w:tcMar>
              <w:top w:w="80" w:type="dxa"/>
              <w:start w:w="100" w:type="dxa"/>
              <w:bottom w:w="80" w:type="dxa"/>
              <w:end w:w="100" w:type="dxa"/>
            </w:tcMar>
            <w:vAlign w:val="center"/>
            <w:shd w:fill="2A6F6B"/>
          </w:tcPr>
          <w:p>
            <w:pPr>
              <w:spacing w:after="0"/>
            </w:pPr>
            <w:r/>
            <w:r>
              <w:rPr>
                <w:rFonts w:ascii="Aptos" w:hAnsi="Aptos"/>
                <w:b/>
                <w:color w:val="FFFFFF"/>
                <w:sz w:val="16"/>
              </w:rPr>
              <w:t>Uncertainty / action</w:t>
            </w:r>
          </w:p>
        </w:tc>
        <w:tc>
          <w:tcPr>
            <w:tcW w:type="dxa" w:w="4946"/>
            <w:tcMar>
              <w:top w:w="80" w:type="dxa"/>
              <w:start w:w="100" w:type="dxa"/>
              <w:bottom w:w="80" w:type="dxa"/>
              <w:end w:w="100" w:type="dxa"/>
            </w:tcMar>
            <w:vAlign w:val="center"/>
            <w:shd w:fill="FFFFFF"/>
          </w:tcPr>
          <w:p>
            <w:pPr>
              <w:spacing w:after="0"/>
            </w:pPr>
            <w:r/>
            <w:r>
              <w:rPr>
                <w:rFonts w:ascii="Aptos" w:hAnsi="Aptos"/>
                <w:b w:val="0"/>
                <w:color w:val="222222"/>
                <w:sz w:val="16"/>
              </w:rPr>
              <w:t>Uncertainty: Medium.  Duckworks action: Add GDPR screening to every AI intake; do not use AI Act classification as a proxy for privacy risk.</w:t>
            </w:r>
          </w:p>
        </w:tc>
      </w:tr>
    </w:tbl>
    <w:p>
      <w:pPr>
        <w:spacing w:after="20"/>
      </w:pPr>
    </w:p>
    <w:p>
      <w:pPr>
        <w:keepNext/>
        <w:spacing w:before="100" w:after="40"/>
      </w:pPr>
      <w:r>
        <w:rPr>
          <w:b/>
          <w:color w:val="17324D"/>
          <w:sz w:val="21"/>
        </w:rPr>
        <w:t>L-17  DuckTalent personal-data processing must satisfy GDPR principles, lawful-basis, transparency, minimisation, accuracy and accountability requirements.</w:t>
      </w:r>
    </w:p>
    <w:tbl>
      <w:tblPr>
        <w:tblW w:type="auto" w:w="0"/>
        <w:jc w:val="center"/>
        <w:tblLayout w:type="fixed"/>
        <w:tblLook w:firstColumn="1" w:firstRow="1" w:lastColumn="0" w:lastRow="0" w:noHBand="0" w:noVBand="1" w:val="04A0"/>
      </w:tblPr>
      <w:tblGrid>
        <w:gridCol w:w="1944"/>
        <w:gridCol w:w="8280"/>
      </w:tblGrid>
      <w:tr>
        <w:tc>
          <w:tcPr>
            <w:tcW w:type="dxa" w:w="4946"/>
            <w:tcMar>
              <w:top w:w="80" w:type="dxa"/>
              <w:start w:w="100" w:type="dxa"/>
              <w:bottom w:w="80" w:type="dxa"/>
              <w:end w:w="100" w:type="dxa"/>
            </w:tcMar>
            <w:vAlign w:val="center"/>
            <w:shd w:fill="2A6F6B"/>
          </w:tcPr>
          <w:p>
            <w:pPr>
              <w:spacing w:after="0"/>
            </w:pPr>
            <w:r/>
            <w:r>
              <w:rPr>
                <w:rFonts w:ascii="Aptos" w:hAnsi="Aptos"/>
                <w:b/>
                <w:color w:val="FFFFFF"/>
                <w:sz w:val="16"/>
              </w:rPr>
              <w:t>Classification</w:t>
            </w:r>
          </w:p>
        </w:tc>
        <w:tc>
          <w:tcPr>
            <w:tcW w:type="dxa" w:w="4946"/>
            <w:tcMar>
              <w:top w:w="80" w:type="dxa"/>
              <w:start w:w="100" w:type="dxa"/>
              <w:bottom w:w="80" w:type="dxa"/>
              <w:end w:w="100" w:type="dxa"/>
            </w:tcMar>
            <w:vAlign w:val="center"/>
            <w:shd w:fill="FFFFFF"/>
          </w:tcPr>
          <w:p>
            <w:pPr>
              <w:spacing w:after="0"/>
            </w:pPr>
            <w:r/>
            <w:r>
              <w:rPr>
                <w:rFonts w:ascii="Aptos" w:hAnsi="Aptos"/>
                <w:b w:val="0"/>
                <w:color w:val="222222"/>
                <w:sz w:val="16"/>
              </w:rPr>
              <w:t>Mandatory legal requirement</w:t>
            </w:r>
          </w:p>
        </w:tc>
      </w:tr>
      <w:tr>
        <w:tc>
          <w:tcPr>
            <w:tcW w:type="dxa" w:w="4946"/>
            <w:tcMar>
              <w:top w:w="80" w:type="dxa"/>
              <w:start w:w="100" w:type="dxa"/>
              <w:bottom w:w="80" w:type="dxa"/>
              <w:end w:w="100" w:type="dxa"/>
            </w:tcMar>
            <w:vAlign w:val="center"/>
            <w:shd w:fill="2A6F6B"/>
          </w:tcPr>
          <w:p>
            <w:pPr>
              <w:spacing w:after="0"/>
            </w:pPr>
            <w:r/>
            <w:r>
              <w:rPr>
                <w:rFonts w:ascii="Aptos" w:hAnsi="Aptos"/>
                <w:b/>
                <w:color w:val="FFFFFF"/>
                <w:sz w:val="16"/>
              </w:rPr>
              <w:t>Source / provision</w:t>
            </w:r>
          </w:p>
        </w:tc>
        <w:tc>
          <w:tcPr>
            <w:tcW w:type="dxa" w:w="4946"/>
            <w:tcMar>
              <w:top w:w="80" w:type="dxa"/>
              <w:start w:w="100" w:type="dxa"/>
              <w:bottom w:w="80" w:type="dxa"/>
              <w:end w:w="100" w:type="dxa"/>
            </w:tcMar>
            <w:vAlign w:val="center"/>
            <w:shd w:fill="F7F9FA"/>
          </w:tcPr>
          <w:p>
            <w:pPr>
              <w:spacing w:after="0"/>
            </w:pPr>
            <w:r/>
            <w:r>
              <w:rPr>
                <w:rFonts w:ascii="Aptos" w:hAnsi="Aptos"/>
                <w:b w:val="0"/>
                <w:color w:val="222222"/>
                <w:sz w:val="16"/>
              </w:rPr>
              <w:t>GDPR Arts. 5-6; Art. 9 where special-category data are involved; Arts. 13-14 | S10</w:t>
            </w:r>
          </w:p>
        </w:tc>
      </w:tr>
      <w:tr>
        <w:tc>
          <w:tcPr>
            <w:tcW w:type="dxa" w:w="4946"/>
            <w:tcMar>
              <w:top w:w="80" w:type="dxa"/>
              <w:start w:w="100" w:type="dxa"/>
              <w:bottom w:w="80" w:type="dxa"/>
              <w:end w:w="100" w:type="dxa"/>
            </w:tcMar>
            <w:vAlign w:val="center"/>
            <w:shd w:fill="2A6F6B"/>
          </w:tcPr>
          <w:p>
            <w:pPr>
              <w:spacing w:after="0"/>
            </w:pPr>
            <w:r/>
            <w:r>
              <w:rPr>
                <w:rFonts w:ascii="Aptos" w:hAnsi="Aptos"/>
                <w:b/>
                <w:color w:val="FFFFFF"/>
                <w:sz w:val="16"/>
              </w:rPr>
              <w:t>Applicability</w:t>
            </w:r>
          </w:p>
        </w:tc>
        <w:tc>
          <w:tcPr>
            <w:tcW w:type="dxa" w:w="4946"/>
            <w:tcMar>
              <w:top w:w="80" w:type="dxa"/>
              <w:start w:w="100" w:type="dxa"/>
              <w:bottom w:w="80" w:type="dxa"/>
              <w:end w:w="100" w:type="dxa"/>
            </w:tcMar>
            <w:vAlign w:val="center"/>
            <w:shd w:fill="FFFFFF"/>
          </w:tcPr>
          <w:p>
            <w:pPr>
              <w:spacing w:after="0"/>
            </w:pPr>
            <w:r/>
            <w:r>
              <w:rPr>
                <w:rFonts w:ascii="Aptos" w:hAnsi="Aptos"/>
                <w:b w:val="0"/>
                <w:color w:val="222222"/>
                <w:sz w:val="16"/>
              </w:rPr>
              <w:t>Applicant CV parsing, qualification extraction and candidate evaluation involve personal data.</w:t>
            </w:r>
          </w:p>
        </w:tc>
      </w:tr>
      <w:tr>
        <w:tc>
          <w:tcPr>
            <w:tcW w:type="dxa" w:w="4946"/>
            <w:tcMar>
              <w:top w:w="80" w:type="dxa"/>
              <w:start w:w="100" w:type="dxa"/>
              <w:bottom w:w="80" w:type="dxa"/>
              <w:end w:w="100" w:type="dxa"/>
            </w:tcMar>
            <w:vAlign w:val="center"/>
            <w:shd w:fill="2A6F6B"/>
          </w:tcPr>
          <w:p>
            <w:pPr>
              <w:spacing w:after="0"/>
            </w:pPr>
            <w:r/>
            <w:r>
              <w:rPr>
                <w:rFonts w:ascii="Aptos" w:hAnsi="Aptos"/>
                <w:b/>
                <w:color w:val="FFFFFF"/>
                <w:sz w:val="16"/>
              </w:rPr>
              <w:t>Timing / status</w:t>
            </w:r>
          </w:p>
        </w:tc>
        <w:tc>
          <w:tcPr>
            <w:tcW w:type="dxa" w:w="4946"/>
            <w:tcMar>
              <w:top w:w="80" w:type="dxa"/>
              <w:start w:w="100" w:type="dxa"/>
              <w:bottom w:w="80" w:type="dxa"/>
              <w:end w:w="100" w:type="dxa"/>
            </w:tcMar>
            <w:vAlign w:val="center"/>
            <w:shd w:fill="F7F9FA"/>
          </w:tcPr>
          <w:p>
            <w:pPr>
              <w:spacing w:after="0"/>
            </w:pPr>
            <w:r/>
            <w:r>
              <w:rPr>
                <w:rFonts w:ascii="Aptos" w:hAnsi="Aptos"/>
                <w:b w:val="0"/>
                <w:color w:val="222222"/>
                <w:sz w:val="16"/>
              </w:rPr>
              <w:t>Current</w:t>
            </w:r>
          </w:p>
        </w:tc>
      </w:tr>
      <w:tr>
        <w:tc>
          <w:tcPr>
            <w:tcW w:type="dxa" w:w="4946"/>
            <w:tcMar>
              <w:top w:w="80" w:type="dxa"/>
              <w:start w:w="100" w:type="dxa"/>
              <w:bottom w:w="80" w:type="dxa"/>
              <w:end w:w="100" w:type="dxa"/>
            </w:tcMar>
            <w:vAlign w:val="center"/>
            <w:shd w:fill="2A6F6B"/>
          </w:tcPr>
          <w:p>
            <w:pPr>
              <w:spacing w:after="0"/>
            </w:pPr>
            <w:r/>
            <w:r>
              <w:rPr>
                <w:rFonts w:ascii="Aptos" w:hAnsi="Aptos"/>
                <w:b/>
                <w:color w:val="FFFFFF"/>
                <w:sz w:val="16"/>
              </w:rPr>
              <w:t>Uncertainty / action</w:t>
            </w:r>
          </w:p>
        </w:tc>
        <w:tc>
          <w:tcPr>
            <w:tcW w:type="dxa" w:w="4946"/>
            <w:tcMar>
              <w:top w:w="80" w:type="dxa"/>
              <w:start w:w="100" w:type="dxa"/>
              <w:bottom w:w="80" w:type="dxa"/>
              <w:end w:w="100" w:type="dxa"/>
            </w:tcMar>
            <w:vAlign w:val="center"/>
            <w:shd w:fill="FFFFFF"/>
          </w:tcPr>
          <w:p>
            <w:pPr>
              <w:spacing w:after="0"/>
            </w:pPr>
            <w:r/>
            <w:r>
              <w:rPr>
                <w:rFonts w:ascii="Aptos" w:hAnsi="Aptos"/>
                <w:b w:val="0"/>
                <w:color w:val="222222"/>
                <w:sz w:val="16"/>
              </w:rPr>
              <w:t>Uncertainty: High.  Duckworks action: Define controller/processor roles, purpose, lawful basis, notice, retention, minimisation and data-quality controls before production.</w:t>
            </w:r>
          </w:p>
        </w:tc>
      </w:tr>
    </w:tbl>
    <w:p>
      <w:pPr>
        <w:spacing w:after="20"/>
      </w:pPr>
    </w:p>
    <w:p>
      <w:pPr>
        <w:keepNext/>
        <w:spacing w:before="100" w:after="40"/>
      </w:pPr>
      <w:r>
        <w:rPr>
          <w:b/>
          <w:color w:val="17324D"/>
          <w:sz w:val="21"/>
        </w:rPr>
        <w:t>L-18  GDPR Article 22 is not automatically triggered merely because DuckTalent ranks candidates, but superficial human review may not avoid it.</w:t>
      </w:r>
    </w:p>
    <w:tbl>
      <w:tblPr>
        <w:tblW w:type="auto" w:w="0"/>
        <w:jc w:val="center"/>
        <w:tblLayout w:type="fixed"/>
        <w:tblLook w:firstColumn="1" w:firstRow="1" w:lastColumn="0" w:lastRow="0" w:noHBand="0" w:noVBand="1" w:val="04A0"/>
      </w:tblPr>
      <w:tblGrid>
        <w:gridCol w:w="1944"/>
        <w:gridCol w:w="8280"/>
      </w:tblGrid>
      <w:tr>
        <w:tc>
          <w:tcPr>
            <w:tcW w:type="dxa" w:w="4946"/>
            <w:tcMar>
              <w:top w:w="80" w:type="dxa"/>
              <w:start w:w="100" w:type="dxa"/>
              <w:bottom w:w="80" w:type="dxa"/>
              <w:end w:w="100" w:type="dxa"/>
            </w:tcMar>
            <w:vAlign w:val="center"/>
            <w:shd w:fill="2A6F6B"/>
          </w:tcPr>
          <w:p>
            <w:pPr>
              <w:spacing w:after="0"/>
            </w:pPr>
            <w:r/>
            <w:r>
              <w:rPr>
                <w:rFonts w:ascii="Aptos" w:hAnsi="Aptos"/>
                <w:b/>
                <w:color w:val="FFFFFF"/>
                <w:sz w:val="16"/>
              </w:rPr>
              <w:t>Classification</w:t>
            </w:r>
          </w:p>
        </w:tc>
        <w:tc>
          <w:tcPr>
            <w:tcW w:type="dxa" w:w="4946"/>
            <w:tcMar>
              <w:top w:w="80" w:type="dxa"/>
              <w:start w:w="100" w:type="dxa"/>
              <w:bottom w:w="80" w:type="dxa"/>
              <w:end w:w="100" w:type="dxa"/>
            </w:tcMar>
            <w:vAlign w:val="center"/>
            <w:shd w:fill="FFFFFF"/>
          </w:tcPr>
          <w:p>
            <w:pPr>
              <w:spacing w:after="0"/>
            </w:pPr>
            <w:r/>
            <w:r>
              <w:rPr>
                <w:rFonts w:ascii="Aptos" w:hAnsi="Aptos"/>
                <w:b w:val="0"/>
                <w:color w:val="222222"/>
                <w:sz w:val="16"/>
              </w:rPr>
              <w:t>Conditional mandatory requirement</w:t>
            </w:r>
          </w:p>
        </w:tc>
      </w:tr>
      <w:tr>
        <w:tc>
          <w:tcPr>
            <w:tcW w:type="dxa" w:w="4946"/>
            <w:tcMar>
              <w:top w:w="80" w:type="dxa"/>
              <w:start w:w="100" w:type="dxa"/>
              <w:bottom w:w="80" w:type="dxa"/>
              <w:end w:w="100" w:type="dxa"/>
            </w:tcMar>
            <w:vAlign w:val="center"/>
            <w:shd w:fill="2A6F6B"/>
          </w:tcPr>
          <w:p>
            <w:pPr>
              <w:spacing w:after="0"/>
            </w:pPr>
            <w:r/>
            <w:r>
              <w:rPr>
                <w:rFonts w:ascii="Aptos" w:hAnsi="Aptos"/>
                <w:b/>
                <w:color w:val="FFFFFF"/>
                <w:sz w:val="16"/>
              </w:rPr>
              <w:t>Source / provision</w:t>
            </w:r>
          </w:p>
        </w:tc>
        <w:tc>
          <w:tcPr>
            <w:tcW w:type="dxa" w:w="4946"/>
            <w:tcMar>
              <w:top w:w="80" w:type="dxa"/>
              <w:start w:w="100" w:type="dxa"/>
              <w:bottom w:w="80" w:type="dxa"/>
              <w:end w:w="100" w:type="dxa"/>
            </w:tcMar>
            <w:vAlign w:val="center"/>
            <w:shd w:fill="F7F9FA"/>
          </w:tcPr>
          <w:p>
            <w:pPr>
              <w:spacing w:after="0"/>
            </w:pPr>
            <w:r/>
            <w:r>
              <w:rPr>
                <w:rFonts w:ascii="Aptos" w:hAnsi="Aptos"/>
                <w:b w:val="0"/>
                <w:color w:val="222222"/>
                <w:sz w:val="16"/>
              </w:rPr>
              <w:t>GDPR Art. 22; EDPB automated decision-making guidance | S10, S11</w:t>
            </w:r>
          </w:p>
        </w:tc>
      </w:tr>
      <w:tr>
        <w:tc>
          <w:tcPr>
            <w:tcW w:type="dxa" w:w="4946"/>
            <w:tcMar>
              <w:top w:w="80" w:type="dxa"/>
              <w:start w:w="100" w:type="dxa"/>
              <w:bottom w:w="80" w:type="dxa"/>
              <w:end w:w="100" w:type="dxa"/>
            </w:tcMar>
            <w:vAlign w:val="center"/>
            <w:shd w:fill="2A6F6B"/>
          </w:tcPr>
          <w:p>
            <w:pPr>
              <w:spacing w:after="0"/>
            </w:pPr>
            <w:r/>
            <w:r>
              <w:rPr>
                <w:rFonts w:ascii="Aptos" w:hAnsi="Aptos"/>
                <w:b/>
                <w:color w:val="FFFFFF"/>
                <w:sz w:val="16"/>
              </w:rPr>
              <w:t>Applicability</w:t>
            </w:r>
          </w:p>
        </w:tc>
        <w:tc>
          <w:tcPr>
            <w:tcW w:type="dxa" w:w="4946"/>
            <w:tcMar>
              <w:top w:w="80" w:type="dxa"/>
              <w:start w:w="100" w:type="dxa"/>
              <w:bottom w:w="80" w:type="dxa"/>
              <w:end w:w="100" w:type="dxa"/>
            </w:tcMar>
            <w:vAlign w:val="center"/>
            <w:shd w:fill="FFFFFF"/>
          </w:tcPr>
          <w:p>
            <w:pPr>
              <w:spacing w:after="0"/>
            </w:pPr>
            <w:r/>
            <w:r>
              <w:rPr>
                <w:rFonts w:ascii="Aptos" w:hAnsi="Aptos"/>
                <w:b w:val="0"/>
                <w:color w:val="222222"/>
                <w:sz w:val="16"/>
              </w:rPr>
              <w:t>Art. 22 concerns solely automated decisions producing legal or similarly significant effects. Duckworks assumes humans make final decisions; meaningful involvement must be evidenced.</w:t>
            </w:r>
          </w:p>
        </w:tc>
      </w:tr>
      <w:tr>
        <w:tc>
          <w:tcPr>
            <w:tcW w:type="dxa" w:w="4946"/>
            <w:tcMar>
              <w:top w:w="80" w:type="dxa"/>
              <w:start w:w="100" w:type="dxa"/>
              <w:bottom w:w="80" w:type="dxa"/>
              <w:end w:w="100" w:type="dxa"/>
            </w:tcMar>
            <w:vAlign w:val="center"/>
            <w:shd w:fill="2A6F6B"/>
          </w:tcPr>
          <w:p>
            <w:pPr>
              <w:spacing w:after="0"/>
            </w:pPr>
            <w:r/>
            <w:r>
              <w:rPr>
                <w:rFonts w:ascii="Aptos" w:hAnsi="Aptos"/>
                <w:b/>
                <w:color w:val="FFFFFF"/>
                <w:sz w:val="16"/>
              </w:rPr>
              <w:t>Timing / status</w:t>
            </w:r>
          </w:p>
        </w:tc>
        <w:tc>
          <w:tcPr>
            <w:tcW w:type="dxa" w:w="4946"/>
            <w:tcMar>
              <w:top w:w="80" w:type="dxa"/>
              <w:start w:w="100" w:type="dxa"/>
              <w:bottom w:w="80" w:type="dxa"/>
              <w:end w:w="100" w:type="dxa"/>
            </w:tcMar>
            <w:vAlign w:val="center"/>
            <w:shd w:fill="F7F9FA"/>
          </w:tcPr>
          <w:p>
            <w:pPr>
              <w:spacing w:after="0"/>
            </w:pPr>
            <w:r/>
            <w:r>
              <w:rPr>
                <w:rFonts w:ascii="Aptos" w:hAnsi="Aptos"/>
                <w:b w:val="0"/>
                <w:color w:val="222222"/>
                <w:sz w:val="16"/>
              </w:rPr>
              <w:t>Current</w:t>
            </w:r>
          </w:p>
        </w:tc>
      </w:tr>
      <w:tr>
        <w:tc>
          <w:tcPr>
            <w:tcW w:type="dxa" w:w="4946"/>
            <w:tcMar>
              <w:top w:w="80" w:type="dxa"/>
              <w:start w:w="100" w:type="dxa"/>
              <w:bottom w:w="80" w:type="dxa"/>
              <w:end w:w="100" w:type="dxa"/>
            </w:tcMar>
            <w:vAlign w:val="center"/>
            <w:shd w:fill="2A6F6B"/>
          </w:tcPr>
          <w:p>
            <w:pPr>
              <w:spacing w:after="0"/>
            </w:pPr>
            <w:r/>
            <w:r>
              <w:rPr>
                <w:rFonts w:ascii="Aptos" w:hAnsi="Aptos"/>
                <w:b/>
                <w:color w:val="FFFFFF"/>
                <w:sz w:val="16"/>
              </w:rPr>
              <w:t>Uncertainty / action</w:t>
            </w:r>
          </w:p>
        </w:tc>
        <w:tc>
          <w:tcPr>
            <w:tcW w:type="dxa" w:w="4946"/>
            <w:tcMar>
              <w:top w:w="80" w:type="dxa"/>
              <w:start w:w="100" w:type="dxa"/>
              <w:bottom w:w="80" w:type="dxa"/>
              <w:end w:w="100" w:type="dxa"/>
            </w:tcMar>
            <w:vAlign w:val="center"/>
            <w:shd w:fill="FFFFFF"/>
          </w:tcPr>
          <w:p>
            <w:pPr>
              <w:spacing w:after="0"/>
            </w:pPr>
            <w:r/>
            <w:r>
              <w:rPr>
                <w:rFonts w:ascii="Aptos" w:hAnsi="Aptos"/>
                <w:b w:val="0"/>
                <w:color w:val="222222"/>
                <w:sz w:val="16"/>
              </w:rPr>
              <w:t>Uncertainty: High.  Duckworks action: Test recruiter authority, time, information and override behaviour; prohibit rubber-stamping and monitor automation bias/override rates.</w:t>
            </w:r>
          </w:p>
        </w:tc>
      </w:tr>
    </w:tbl>
    <w:p>
      <w:pPr>
        <w:spacing w:after="20"/>
      </w:pPr>
    </w:p>
    <w:p>
      <w:pPr>
        <w:keepNext/>
        <w:spacing w:before="100" w:after="40"/>
      </w:pPr>
      <w:r>
        <w:rPr>
          <w:b/>
          <w:color w:val="17324D"/>
          <w:sz w:val="21"/>
        </w:rPr>
        <w:t>L-19  A GDPR DPIA is a strong candidate for DuckTalent and must be formally screened.</w:t>
      </w:r>
    </w:p>
    <w:tbl>
      <w:tblPr>
        <w:tblW w:type="auto" w:w="0"/>
        <w:jc w:val="center"/>
        <w:tblLayout w:type="fixed"/>
        <w:tblLook w:firstColumn="1" w:firstRow="1" w:lastColumn="0" w:lastRow="0" w:noHBand="0" w:noVBand="1" w:val="04A0"/>
      </w:tblPr>
      <w:tblGrid>
        <w:gridCol w:w="1944"/>
        <w:gridCol w:w="8280"/>
      </w:tblGrid>
      <w:tr>
        <w:tc>
          <w:tcPr>
            <w:tcW w:type="dxa" w:w="4946"/>
            <w:tcMar>
              <w:top w:w="80" w:type="dxa"/>
              <w:start w:w="100" w:type="dxa"/>
              <w:bottom w:w="80" w:type="dxa"/>
              <w:end w:w="100" w:type="dxa"/>
            </w:tcMar>
            <w:vAlign w:val="center"/>
            <w:shd w:fill="2A6F6B"/>
          </w:tcPr>
          <w:p>
            <w:pPr>
              <w:spacing w:after="0"/>
            </w:pPr>
            <w:r/>
            <w:r>
              <w:rPr>
                <w:rFonts w:ascii="Aptos" w:hAnsi="Aptos"/>
                <w:b/>
                <w:color w:val="FFFFFF"/>
                <w:sz w:val="16"/>
              </w:rPr>
              <w:t>Classification</w:t>
            </w:r>
          </w:p>
        </w:tc>
        <w:tc>
          <w:tcPr>
            <w:tcW w:type="dxa" w:w="4946"/>
            <w:tcMar>
              <w:top w:w="80" w:type="dxa"/>
              <w:start w:w="100" w:type="dxa"/>
              <w:bottom w:w="80" w:type="dxa"/>
              <w:end w:w="100" w:type="dxa"/>
            </w:tcMar>
            <w:vAlign w:val="center"/>
            <w:shd w:fill="FFFFFF"/>
          </w:tcPr>
          <w:p>
            <w:pPr>
              <w:spacing w:after="0"/>
            </w:pPr>
            <w:r/>
            <w:r>
              <w:rPr>
                <w:rFonts w:ascii="Aptos" w:hAnsi="Aptos"/>
                <w:b w:val="0"/>
                <w:color w:val="222222"/>
                <w:sz w:val="16"/>
              </w:rPr>
              <w:t>Conditional mandatory requirement</w:t>
            </w:r>
          </w:p>
        </w:tc>
      </w:tr>
      <w:tr>
        <w:tc>
          <w:tcPr>
            <w:tcW w:type="dxa" w:w="4946"/>
            <w:tcMar>
              <w:top w:w="80" w:type="dxa"/>
              <w:start w:w="100" w:type="dxa"/>
              <w:bottom w:w="80" w:type="dxa"/>
              <w:end w:w="100" w:type="dxa"/>
            </w:tcMar>
            <w:vAlign w:val="center"/>
            <w:shd w:fill="2A6F6B"/>
          </w:tcPr>
          <w:p>
            <w:pPr>
              <w:spacing w:after="0"/>
            </w:pPr>
            <w:r/>
            <w:r>
              <w:rPr>
                <w:rFonts w:ascii="Aptos" w:hAnsi="Aptos"/>
                <w:b/>
                <w:color w:val="FFFFFF"/>
                <w:sz w:val="16"/>
              </w:rPr>
              <w:t>Source / provision</w:t>
            </w:r>
          </w:p>
        </w:tc>
        <w:tc>
          <w:tcPr>
            <w:tcW w:type="dxa" w:w="4946"/>
            <w:tcMar>
              <w:top w:w="80" w:type="dxa"/>
              <w:start w:w="100" w:type="dxa"/>
              <w:bottom w:w="80" w:type="dxa"/>
              <w:end w:w="100" w:type="dxa"/>
            </w:tcMar>
            <w:vAlign w:val="center"/>
            <w:shd w:fill="F7F9FA"/>
          </w:tcPr>
          <w:p>
            <w:pPr>
              <w:spacing w:after="0"/>
            </w:pPr>
            <w:r/>
            <w:r>
              <w:rPr>
                <w:rFonts w:ascii="Aptos" w:hAnsi="Aptos"/>
                <w:b w:val="0"/>
                <w:color w:val="222222"/>
                <w:sz w:val="16"/>
              </w:rPr>
              <w:t>GDPR Art. 35; EDPB DPIA Guidelines | S10, S12</w:t>
            </w:r>
          </w:p>
        </w:tc>
      </w:tr>
      <w:tr>
        <w:tc>
          <w:tcPr>
            <w:tcW w:type="dxa" w:w="4946"/>
            <w:tcMar>
              <w:top w:w="80" w:type="dxa"/>
              <w:start w:w="100" w:type="dxa"/>
              <w:bottom w:w="80" w:type="dxa"/>
              <w:end w:w="100" w:type="dxa"/>
            </w:tcMar>
            <w:vAlign w:val="center"/>
            <w:shd w:fill="2A6F6B"/>
          </w:tcPr>
          <w:p>
            <w:pPr>
              <w:spacing w:after="0"/>
            </w:pPr>
            <w:r/>
            <w:r>
              <w:rPr>
                <w:rFonts w:ascii="Aptos" w:hAnsi="Aptos"/>
                <w:b/>
                <w:color w:val="FFFFFF"/>
                <w:sz w:val="16"/>
              </w:rPr>
              <w:t>Applicability</w:t>
            </w:r>
          </w:p>
        </w:tc>
        <w:tc>
          <w:tcPr>
            <w:tcW w:type="dxa" w:w="4946"/>
            <w:tcMar>
              <w:top w:w="80" w:type="dxa"/>
              <w:start w:w="100" w:type="dxa"/>
              <w:bottom w:w="80" w:type="dxa"/>
              <w:end w:w="100" w:type="dxa"/>
            </w:tcMar>
            <w:vAlign w:val="center"/>
            <w:shd w:fill="FFFFFF"/>
          </w:tcPr>
          <w:p>
            <w:pPr>
              <w:spacing w:after="0"/>
            </w:pPr>
            <w:r/>
            <w:r>
              <w:rPr>
                <w:rFonts w:ascii="Aptos" w:hAnsi="Aptos"/>
                <w:b w:val="0"/>
                <w:color w:val="222222"/>
                <w:sz w:val="16"/>
              </w:rPr>
              <w:t>Systematic evaluation/profiling in recruitment may create high risk to individuals. A definitive determination also depends on actual processing and national supervisory-authority lists.</w:t>
            </w:r>
          </w:p>
        </w:tc>
      </w:tr>
      <w:tr>
        <w:tc>
          <w:tcPr>
            <w:tcW w:type="dxa" w:w="4946"/>
            <w:tcMar>
              <w:top w:w="80" w:type="dxa"/>
              <w:start w:w="100" w:type="dxa"/>
              <w:bottom w:w="80" w:type="dxa"/>
              <w:end w:w="100" w:type="dxa"/>
            </w:tcMar>
            <w:vAlign w:val="center"/>
            <w:shd w:fill="2A6F6B"/>
          </w:tcPr>
          <w:p>
            <w:pPr>
              <w:spacing w:after="0"/>
            </w:pPr>
            <w:r/>
            <w:r>
              <w:rPr>
                <w:rFonts w:ascii="Aptos" w:hAnsi="Aptos"/>
                <w:b/>
                <w:color w:val="FFFFFF"/>
                <w:sz w:val="16"/>
              </w:rPr>
              <w:t>Timing / status</w:t>
            </w:r>
          </w:p>
        </w:tc>
        <w:tc>
          <w:tcPr>
            <w:tcW w:type="dxa" w:w="4946"/>
            <w:tcMar>
              <w:top w:w="80" w:type="dxa"/>
              <w:start w:w="100" w:type="dxa"/>
              <w:bottom w:w="80" w:type="dxa"/>
              <w:end w:w="100" w:type="dxa"/>
            </w:tcMar>
            <w:vAlign w:val="center"/>
            <w:shd w:fill="F7F9FA"/>
          </w:tcPr>
          <w:p>
            <w:pPr>
              <w:spacing w:after="0"/>
            </w:pPr>
            <w:r/>
            <w:r>
              <w:rPr>
                <w:rFonts w:ascii="Aptos" w:hAnsi="Aptos"/>
                <w:b w:val="0"/>
                <w:color w:val="222222"/>
                <w:sz w:val="16"/>
              </w:rPr>
              <w:t>Current</w:t>
            </w:r>
          </w:p>
        </w:tc>
      </w:tr>
      <w:tr>
        <w:tc>
          <w:tcPr>
            <w:tcW w:type="dxa" w:w="4946"/>
            <w:tcMar>
              <w:top w:w="80" w:type="dxa"/>
              <w:start w:w="100" w:type="dxa"/>
              <w:bottom w:w="80" w:type="dxa"/>
              <w:end w:w="100" w:type="dxa"/>
            </w:tcMar>
            <w:vAlign w:val="center"/>
            <w:shd w:fill="2A6F6B"/>
          </w:tcPr>
          <w:p>
            <w:pPr>
              <w:spacing w:after="0"/>
            </w:pPr>
            <w:r/>
            <w:r>
              <w:rPr>
                <w:rFonts w:ascii="Aptos" w:hAnsi="Aptos"/>
                <w:b/>
                <w:color w:val="FFFFFF"/>
                <w:sz w:val="16"/>
              </w:rPr>
              <w:t>Uncertainty / action</w:t>
            </w:r>
          </w:p>
        </w:tc>
        <w:tc>
          <w:tcPr>
            <w:tcW w:type="dxa" w:w="4946"/>
            <w:tcMar>
              <w:top w:w="80" w:type="dxa"/>
              <w:start w:w="100" w:type="dxa"/>
              <w:bottom w:w="80" w:type="dxa"/>
              <w:end w:w="100" w:type="dxa"/>
            </w:tcMar>
            <w:vAlign w:val="center"/>
            <w:shd w:fill="FFFFFF"/>
          </w:tcPr>
          <w:p>
            <w:pPr>
              <w:spacing w:after="0"/>
            </w:pPr>
            <w:r/>
            <w:r>
              <w:rPr>
                <w:rFonts w:ascii="Aptos" w:hAnsi="Aptos"/>
                <w:b w:val="0"/>
                <w:color w:val="222222"/>
                <w:sz w:val="16"/>
              </w:rPr>
              <w:t>Uncertainty: High.  Duckworks action: Complete a formal DPIA screening; if triggered, perform the DPIA separately from the broader Duckworks AIA.</w:t>
            </w:r>
          </w:p>
        </w:tc>
      </w:tr>
    </w:tbl>
    <w:p>
      <w:pPr>
        <w:spacing w:after="20"/>
      </w:pPr>
    </w:p>
    <w:p>
      <w:pPr>
        <w:keepNext/>
        <w:spacing w:before="100" w:after="40"/>
      </w:pPr>
      <w:r>
        <w:rPr>
          <w:b/>
          <w:color w:val="17324D"/>
          <w:sz w:val="21"/>
        </w:rPr>
        <w:t>L-20  Third-party GenAI does not remove Duckworks GDPR accountability.</w:t>
      </w:r>
    </w:p>
    <w:tbl>
      <w:tblPr>
        <w:tblW w:type="auto" w:w="0"/>
        <w:jc w:val="center"/>
        <w:tblLayout w:type="fixed"/>
        <w:tblLook w:firstColumn="1" w:firstRow="1" w:lastColumn="0" w:lastRow="0" w:noHBand="0" w:noVBand="1" w:val="04A0"/>
      </w:tblPr>
      <w:tblGrid>
        <w:gridCol w:w="1944"/>
        <w:gridCol w:w="8280"/>
      </w:tblGrid>
      <w:tr>
        <w:tc>
          <w:tcPr>
            <w:tcW w:type="dxa" w:w="4946"/>
            <w:tcMar>
              <w:top w:w="80" w:type="dxa"/>
              <w:start w:w="100" w:type="dxa"/>
              <w:bottom w:w="80" w:type="dxa"/>
              <w:end w:w="100" w:type="dxa"/>
            </w:tcMar>
            <w:vAlign w:val="center"/>
            <w:shd w:fill="2A6F6B"/>
          </w:tcPr>
          <w:p>
            <w:pPr>
              <w:spacing w:after="0"/>
            </w:pPr>
            <w:r/>
            <w:r>
              <w:rPr>
                <w:rFonts w:ascii="Aptos" w:hAnsi="Aptos"/>
                <w:b/>
                <w:color w:val="FFFFFF"/>
                <w:sz w:val="16"/>
              </w:rPr>
              <w:t>Classification</w:t>
            </w:r>
          </w:p>
        </w:tc>
        <w:tc>
          <w:tcPr>
            <w:tcW w:type="dxa" w:w="4946"/>
            <w:tcMar>
              <w:top w:w="80" w:type="dxa"/>
              <w:start w:w="100" w:type="dxa"/>
              <w:bottom w:w="80" w:type="dxa"/>
              <w:end w:w="100" w:type="dxa"/>
            </w:tcMar>
            <w:vAlign w:val="center"/>
            <w:shd w:fill="FFFFFF"/>
          </w:tcPr>
          <w:p>
            <w:pPr>
              <w:spacing w:after="0"/>
            </w:pPr>
            <w:r/>
            <w:r>
              <w:rPr>
                <w:rFonts w:ascii="Aptos" w:hAnsi="Aptos"/>
                <w:b w:val="0"/>
                <w:color w:val="222222"/>
                <w:sz w:val="16"/>
              </w:rPr>
              <w:t>Mandatory legal requirement</w:t>
            </w:r>
          </w:p>
        </w:tc>
      </w:tr>
      <w:tr>
        <w:tc>
          <w:tcPr>
            <w:tcW w:type="dxa" w:w="4946"/>
            <w:tcMar>
              <w:top w:w="80" w:type="dxa"/>
              <w:start w:w="100" w:type="dxa"/>
              <w:bottom w:w="80" w:type="dxa"/>
              <w:end w:w="100" w:type="dxa"/>
            </w:tcMar>
            <w:vAlign w:val="center"/>
            <w:shd w:fill="2A6F6B"/>
          </w:tcPr>
          <w:p>
            <w:pPr>
              <w:spacing w:after="0"/>
            </w:pPr>
            <w:r/>
            <w:r>
              <w:rPr>
                <w:rFonts w:ascii="Aptos" w:hAnsi="Aptos"/>
                <w:b/>
                <w:color w:val="FFFFFF"/>
                <w:sz w:val="16"/>
              </w:rPr>
              <w:t>Source / provision</w:t>
            </w:r>
          </w:p>
        </w:tc>
        <w:tc>
          <w:tcPr>
            <w:tcW w:type="dxa" w:w="4946"/>
            <w:tcMar>
              <w:top w:w="80" w:type="dxa"/>
              <w:start w:w="100" w:type="dxa"/>
              <w:bottom w:w="80" w:type="dxa"/>
              <w:end w:w="100" w:type="dxa"/>
            </w:tcMar>
            <w:vAlign w:val="center"/>
            <w:shd w:fill="F7F9FA"/>
          </w:tcPr>
          <w:p>
            <w:pPr>
              <w:spacing w:after="0"/>
            </w:pPr>
            <w:r/>
            <w:r>
              <w:rPr>
                <w:rFonts w:ascii="Aptos" w:hAnsi="Aptos"/>
                <w:b w:val="0"/>
                <w:color w:val="222222"/>
                <w:sz w:val="16"/>
              </w:rPr>
              <w:t>GDPR Arts. 24, 25, 28, 32 and Chapter V where transfers apply | S10, S13</w:t>
            </w:r>
          </w:p>
        </w:tc>
      </w:tr>
      <w:tr>
        <w:tc>
          <w:tcPr>
            <w:tcW w:type="dxa" w:w="4946"/>
            <w:tcMar>
              <w:top w:w="80" w:type="dxa"/>
              <w:start w:w="100" w:type="dxa"/>
              <w:bottom w:w="80" w:type="dxa"/>
              <w:end w:w="100" w:type="dxa"/>
            </w:tcMar>
            <w:vAlign w:val="center"/>
            <w:shd w:fill="2A6F6B"/>
          </w:tcPr>
          <w:p>
            <w:pPr>
              <w:spacing w:after="0"/>
            </w:pPr>
            <w:r/>
            <w:r>
              <w:rPr>
                <w:rFonts w:ascii="Aptos" w:hAnsi="Aptos"/>
                <w:b/>
                <w:color w:val="FFFFFF"/>
                <w:sz w:val="16"/>
              </w:rPr>
              <w:t>Applicability</w:t>
            </w:r>
          </w:p>
        </w:tc>
        <w:tc>
          <w:tcPr>
            <w:tcW w:type="dxa" w:w="4946"/>
            <w:tcMar>
              <w:top w:w="80" w:type="dxa"/>
              <w:start w:w="100" w:type="dxa"/>
              <w:bottom w:w="80" w:type="dxa"/>
              <w:end w:w="100" w:type="dxa"/>
            </w:tcMar>
            <w:vAlign w:val="center"/>
            <w:shd w:fill="FFFFFF"/>
          </w:tcPr>
          <w:p>
            <w:pPr>
              <w:spacing w:after="0"/>
            </w:pPr>
            <w:r/>
            <w:r>
              <w:rPr>
                <w:rFonts w:ascii="Aptos" w:hAnsi="Aptos"/>
                <w:b w:val="0"/>
                <w:color w:val="222222"/>
                <w:sz w:val="16"/>
              </w:rPr>
              <w:t>Relevant when DuckTalent, QuackBot, PondGPT or shadow AI transmits personal data to external providers.</w:t>
            </w:r>
          </w:p>
        </w:tc>
      </w:tr>
      <w:tr>
        <w:tc>
          <w:tcPr>
            <w:tcW w:type="dxa" w:w="4946"/>
            <w:tcMar>
              <w:top w:w="80" w:type="dxa"/>
              <w:start w:w="100" w:type="dxa"/>
              <w:bottom w:w="80" w:type="dxa"/>
              <w:end w:w="100" w:type="dxa"/>
            </w:tcMar>
            <w:vAlign w:val="center"/>
            <w:shd w:fill="2A6F6B"/>
          </w:tcPr>
          <w:p>
            <w:pPr>
              <w:spacing w:after="0"/>
            </w:pPr>
            <w:r/>
            <w:r>
              <w:rPr>
                <w:rFonts w:ascii="Aptos" w:hAnsi="Aptos"/>
                <w:b/>
                <w:color w:val="FFFFFF"/>
                <w:sz w:val="16"/>
              </w:rPr>
              <w:t>Timing / status</w:t>
            </w:r>
          </w:p>
        </w:tc>
        <w:tc>
          <w:tcPr>
            <w:tcW w:type="dxa" w:w="4946"/>
            <w:tcMar>
              <w:top w:w="80" w:type="dxa"/>
              <w:start w:w="100" w:type="dxa"/>
              <w:bottom w:w="80" w:type="dxa"/>
              <w:end w:w="100" w:type="dxa"/>
            </w:tcMar>
            <w:vAlign w:val="center"/>
            <w:shd w:fill="F7F9FA"/>
          </w:tcPr>
          <w:p>
            <w:pPr>
              <w:spacing w:after="0"/>
            </w:pPr>
            <w:r/>
            <w:r>
              <w:rPr>
                <w:rFonts w:ascii="Aptos" w:hAnsi="Aptos"/>
                <w:b w:val="0"/>
                <w:color w:val="222222"/>
                <w:sz w:val="16"/>
              </w:rPr>
              <w:t>Current</w:t>
            </w:r>
          </w:p>
        </w:tc>
      </w:tr>
      <w:tr>
        <w:tc>
          <w:tcPr>
            <w:tcW w:type="dxa" w:w="4946"/>
            <w:tcMar>
              <w:top w:w="80" w:type="dxa"/>
              <w:start w:w="100" w:type="dxa"/>
              <w:bottom w:w="80" w:type="dxa"/>
              <w:end w:w="100" w:type="dxa"/>
            </w:tcMar>
            <w:vAlign w:val="center"/>
            <w:shd w:fill="2A6F6B"/>
          </w:tcPr>
          <w:p>
            <w:pPr>
              <w:spacing w:after="0"/>
            </w:pPr>
            <w:r/>
            <w:r>
              <w:rPr>
                <w:rFonts w:ascii="Aptos" w:hAnsi="Aptos"/>
                <w:b/>
                <w:color w:val="FFFFFF"/>
                <w:sz w:val="16"/>
              </w:rPr>
              <w:t>Uncertainty / action</w:t>
            </w:r>
          </w:p>
        </w:tc>
        <w:tc>
          <w:tcPr>
            <w:tcW w:type="dxa" w:w="4946"/>
            <w:tcMar>
              <w:top w:w="80" w:type="dxa"/>
              <w:start w:w="100" w:type="dxa"/>
              <w:bottom w:w="80" w:type="dxa"/>
              <w:end w:w="100" w:type="dxa"/>
            </w:tcMar>
            <w:vAlign w:val="center"/>
            <w:shd w:fill="FFFFFF"/>
          </w:tcPr>
          <w:p>
            <w:pPr>
              <w:spacing w:after="0"/>
            </w:pPr>
            <w:r/>
            <w:r>
              <w:rPr>
                <w:rFonts w:ascii="Aptos" w:hAnsi="Aptos"/>
                <w:b w:val="0"/>
                <w:color w:val="222222"/>
                <w:sz w:val="16"/>
              </w:rPr>
              <w:t>Uncertainty: High.  Duckworks action: Verify processor/controller status, data-use terms, security, subprocessors, retention and international transfers before use.</w:t>
            </w:r>
          </w:p>
        </w:tc>
      </w:tr>
    </w:tbl>
    <w:p>
      <w:pPr>
        <w:spacing w:after="20"/>
      </w:pPr>
    </w:p>
    <w:p>
      <w:pPr>
        <w:keepNext/>
        <w:spacing w:before="100" w:after="40"/>
      </w:pPr>
      <w:r>
        <w:rPr>
          <w:b/>
          <w:color w:val="17324D"/>
          <w:sz w:val="21"/>
        </w:rPr>
        <w:t>L-21  Recruitment practices must not create unlawful racial or ethnic discrimination.</w:t>
      </w:r>
    </w:p>
    <w:tbl>
      <w:tblPr>
        <w:tblW w:type="auto" w:w="0"/>
        <w:jc w:val="center"/>
        <w:tblLayout w:type="fixed"/>
        <w:tblLook w:firstColumn="1" w:firstRow="1" w:lastColumn="0" w:lastRow="0" w:noHBand="0" w:noVBand="1" w:val="04A0"/>
      </w:tblPr>
      <w:tblGrid>
        <w:gridCol w:w="1944"/>
        <w:gridCol w:w="8280"/>
      </w:tblGrid>
      <w:tr>
        <w:tc>
          <w:tcPr>
            <w:tcW w:type="dxa" w:w="4946"/>
            <w:tcMar>
              <w:top w:w="80" w:type="dxa"/>
              <w:start w:w="100" w:type="dxa"/>
              <w:bottom w:w="80" w:type="dxa"/>
              <w:end w:w="100" w:type="dxa"/>
            </w:tcMar>
            <w:vAlign w:val="center"/>
            <w:shd w:fill="2A6F6B"/>
          </w:tcPr>
          <w:p>
            <w:pPr>
              <w:spacing w:after="0"/>
            </w:pPr>
            <w:r/>
            <w:r>
              <w:rPr>
                <w:rFonts w:ascii="Aptos" w:hAnsi="Aptos"/>
                <w:b/>
                <w:color w:val="FFFFFF"/>
                <w:sz w:val="16"/>
              </w:rPr>
              <w:t>Classification</w:t>
            </w:r>
          </w:p>
        </w:tc>
        <w:tc>
          <w:tcPr>
            <w:tcW w:type="dxa" w:w="4946"/>
            <w:tcMar>
              <w:top w:w="80" w:type="dxa"/>
              <w:start w:w="100" w:type="dxa"/>
              <w:bottom w:w="80" w:type="dxa"/>
              <w:end w:w="100" w:type="dxa"/>
            </w:tcMar>
            <w:vAlign w:val="center"/>
            <w:shd w:fill="FFFFFF"/>
          </w:tcPr>
          <w:p>
            <w:pPr>
              <w:spacing w:after="0"/>
            </w:pPr>
            <w:r/>
            <w:r>
              <w:rPr>
                <w:rFonts w:ascii="Aptos" w:hAnsi="Aptos"/>
                <w:b w:val="0"/>
                <w:color w:val="222222"/>
                <w:sz w:val="16"/>
              </w:rPr>
              <w:t>Mandatory through national law</w:t>
            </w:r>
          </w:p>
        </w:tc>
      </w:tr>
      <w:tr>
        <w:tc>
          <w:tcPr>
            <w:tcW w:type="dxa" w:w="4946"/>
            <w:tcMar>
              <w:top w:w="80" w:type="dxa"/>
              <w:start w:w="100" w:type="dxa"/>
              <w:bottom w:w="80" w:type="dxa"/>
              <w:end w:w="100" w:type="dxa"/>
            </w:tcMar>
            <w:vAlign w:val="center"/>
            <w:shd w:fill="2A6F6B"/>
          </w:tcPr>
          <w:p>
            <w:pPr>
              <w:spacing w:after="0"/>
            </w:pPr>
            <w:r/>
            <w:r>
              <w:rPr>
                <w:rFonts w:ascii="Aptos" w:hAnsi="Aptos"/>
                <w:b/>
                <w:color w:val="FFFFFF"/>
                <w:sz w:val="16"/>
              </w:rPr>
              <w:t>Source / provision</w:t>
            </w:r>
          </w:p>
        </w:tc>
        <w:tc>
          <w:tcPr>
            <w:tcW w:type="dxa" w:w="4946"/>
            <w:tcMar>
              <w:top w:w="80" w:type="dxa"/>
              <w:start w:w="100" w:type="dxa"/>
              <w:bottom w:w="80" w:type="dxa"/>
              <w:end w:w="100" w:type="dxa"/>
            </w:tcMar>
            <w:vAlign w:val="center"/>
            <w:shd w:fill="F7F9FA"/>
          </w:tcPr>
          <w:p>
            <w:pPr>
              <w:spacing w:after="0"/>
            </w:pPr>
            <w:r/>
            <w:r>
              <w:rPr>
                <w:rFonts w:ascii="Aptos" w:hAnsi="Aptos"/>
                <w:b w:val="0"/>
                <w:color w:val="222222"/>
                <w:sz w:val="16"/>
              </w:rPr>
              <w:t>Directive 2000/43/EC, especially Arts. 1-3 | S14</w:t>
            </w:r>
          </w:p>
        </w:tc>
      </w:tr>
      <w:tr>
        <w:tc>
          <w:tcPr>
            <w:tcW w:type="dxa" w:w="4946"/>
            <w:tcMar>
              <w:top w:w="80" w:type="dxa"/>
              <w:start w:w="100" w:type="dxa"/>
              <w:bottom w:w="80" w:type="dxa"/>
              <w:end w:w="100" w:type="dxa"/>
            </w:tcMar>
            <w:vAlign w:val="center"/>
            <w:shd w:fill="2A6F6B"/>
          </w:tcPr>
          <w:p>
            <w:pPr>
              <w:spacing w:after="0"/>
            </w:pPr>
            <w:r/>
            <w:r>
              <w:rPr>
                <w:rFonts w:ascii="Aptos" w:hAnsi="Aptos"/>
                <w:b/>
                <w:color w:val="FFFFFF"/>
                <w:sz w:val="16"/>
              </w:rPr>
              <w:t>Applicability</w:t>
            </w:r>
          </w:p>
        </w:tc>
        <w:tc>
          <w:tcPr>
            <w:tcW w:type="dxa" w:w="4946"/>
            <w:tcMar>
              <w:top w:w="80" w:type="dxa"/>
              <w:start w:w="100" w:type="dxa"/>
              <w:bottom w:w="80" w:type="dxa"/>
              <w:end w:w="100" w:type="dxa"/>
            </w:tcMar>
            <w:vAlign w:val="center"/>
            <w:shd w:fill="FFFFFF"/>
          </w:tcPr>
          <w:p>
            <w:pPr>
              <w:spacing w:after="0"/>
            </w:pPr>
            <w:r/>
            <w:r>
              <w:rPr>
                <w:rFonts w:ascii="Aptos" w:hAnsi="Aptos"/>
                <w:b w:val="0"/>
                <w:color w:val="222222"/>
                <w:sz w:val="16"/>
              </w:rPr>
              <w:t>Directly relevant to DuckTalent selection criteria, proxies, ranking and candidate outcomes.</w:t>
            </w:r>
          </w:p>
        </w:tc>
      </w:tr>
      <w:tr>
        <w:tc>
          <w:tcPr>
            <w:tcW w:type="dxa" w:w="4946"/>
            <w:tcMar>
              <w:top w:w="80" w:type="dxa"/>
              <w:start w:w="100" w:type="dxa"/>
              <w:bottom w:w="80" w:type="dxa"/>
              <w:end w:w="100" w:type="dxa"/>
            </w:tcMar>
            <w:vAlign w:val="center"/>
            <w:shd w:fill="2A6F6B"/>
          </w:tcPr>
          <w:p>
            <w:pPr>
              <w:spacing w:after="0"/>
            </w:pPr>
            <w:r/>
            <w:r>
              <w:rPr>
                <w:rFonts w:ascii="Aptos" w:hAnsi="Aptos"/>
                <w:b/>
                <w:color w:val="FFFFFF"/>
                <w:sz w:val="16"/>
              </w:rPr>
              <w:t>Timing / status</w:t>
            </w:r>
          </w:p>
        </w:tc>
        <w:tc>
          <w:tcPr>
            <w:tcW w:type="dxa" w:w="4946"/>
            <w:tcMar>
              <w:top w:w="80" w:type="dxa"/>
              <w:start w:w="100" w:type="dxa"/>
              <w:bottom w:w="80" w:type="dxa"/>
              <w:end w:w="100" w:type="dxa"/>
            </w:tcMar>
            <w:vAlign w:val="center"/>
            <w:shd w:fill="F7F9FA"/>
          </w:tcPr>
          <w:p>
            <w:pPr>
              <w:spacing w:after="0"/>
            </w:pPr>
            <w:r/>
            <w:r>
              <w:rPr>
                <w:rFonts w:ascii="Aptos" w:hAnsi="Aptos"/>
                <w:b w:val="0"/>
                <w:color w:val="222222"/>
                <w:sz w:val="16"/>
              </w:rPr>
              <w:t>Current through Member-State implementing law</w:t>
            </w:r>
          </w:p>
        </w:tc>
      </w:tr>
      <w:tr>
        <w:tc>
          <w:tcPr>
            <w:tcW w:type="dxa" w:w="4946"/>
            <w:tcMar>
              <w:top w:w="80" w:type="dxa"/>
              <w:start w:w="100" w:type="dxa"/>
              <w:bottom w:w="80" w:type="dxa"/>
              <w:end w:w="100" w:type="dxa"/>
            </w:tcMar>
            <w:vAlign w:val="center"/>
            <w:shd w:fill="2A6F6B"/>
          </w:tcPr>
          <w:p>
            <w:pPr>
              <w:spacing w:after="0"/>
            </w:pPr>
            <w:r/>
            <w:r>
              <w:rPr>
                <w:rFonts w:ascii="Aptos" w:hAnsi="Aptos"/>
                <w:b/>
                <w:color w:val="FFFFFF"/>
                <w:sz w:val="16"/>
              </w:rPr>
              <w:t>Uncertainty / action</w:t>
            </w:r>
          </w:p>
        </w:tc>
        <w:tc>
          <w:tcPr>
            <w:tcW w:type="dxa" w:w="4946"/>
            <w:tcMar>
              <w:top w:w="80" w:type="dxa"/>
              <w:start w:w="100" w:type="dxa"/>
              <w:bottom w:w="80" w:type="dxa"/>
              <w:end w:w="100" w:type="dxa"/>
            </w:tcMar>
            <w:vAlign w:val="center"/>
            <w:shd w:fill="FFFFFF"/>
          </w:tcPr>
          <w:p>
            <w:pPr>
              <w:spacing w:after="0"/>
            </w:pPr>
            <w:r/>
            <w:r>
              <w:rPr>
                <w:rFonts w:ascii="Aptos" w:hAnsi="Aptos"/>
                <w:b w:val="0"/>
                <w:color w:val="222222"/>
                <w:sz w:val="16"/>
              </w:rPr>
              <w:t>Uncertainty: High.  Duckworks action: Map national law and include disparate-impact/proxy-risk testing in production fairness validation.</w:t>
            </w:r>
          </w:p>
        </w:tc>
      </w:tr>
    </w:tbl>
    <w:p>
      <w:pPr>
        <w:spacing w:after="20"/>
      </w:pPr>
    </w:p>
    <w:p>
      <w:pPr>
        <w:keepNext/>
        <w:spacing w:before="100" w:after="40"/>
      </w:pPr>
      <w:r>
        <w:rPr>
          <w:b/>
          <w:color w:val="17324D"/>
          <w:sz w:val="21"/>
        </w:rPr>
        <w:t>L-22  Recruitment must not discriminate on religion or belief, disability, age or sexual orientation; reasonable accommodation obligations are relevant.</w:t>
      </w:r>
    </w:p>
    <w:tbl>
      <w:tblPr>
        <w:tblW w:type="auto" w:w="0"/>
        <w:jc w:val="center"/>
        <w:tblLayout w:type="fixed"/>
        <w:tblLook w:firstColumn="1" w:firstRow="1" w:lastColumn="0" w:lastRow="0" w:noHBand="0" w:noVBand="1" w:val="04A0"/>
      </w:tblPr>
      <w:tblGrid>
        <w:gridCol w:w="1944"/>
        <w:gridCol w:w="8280"/>
      </w:tblGrid>
      <w:tr>
        <w:tc>
          <w:tcPr>
            <w:tcW w:type="dxa" w:w="4946"/>
            <w:tcMar>
              <w:top w:w="80" w:type="dxa"/>
              <w:start w:w="100" w:type="dxa"/>
              <w:bottom w:w="80" w:type="dxa"/>
              <w:end w:w="100" w:type="dxa"/>
            </w:tcMar>
            <w:vAlign w:val="center"/>
            <w:shd w:fill="2A6F6B"/>
          </w:tcPr>
          <w:p>
            <w:pPr>
              <w:spacing w:after="0"/>
            </w:pPr>
            <w:r/>
            <w:r>
              <w:rPr>
                <w:rFonts w:ascii="Aptos" w:hAnsi="Aptos"/>
                <w:b/>
                <w:color w:val="FFFFFF"/>
                <w:sz w:val="16"/>
              </w:rPr>
              <w:t>Classification</w:t>
            </w:r>
          </w:p>
        </w:tc>
        <w:tc>
          <w:tcPr>
            <w:tcW w:type="dxa" w:w="4946"/>
            <w:tcMar>
              <w:top w:w="80" w:type="dxa"/>
              <w:start w:w="100" w:type="dxa"/>
              <w:bottom w:w="80" w:type="dxa"/>
              <w:end w:w="100" w:type="dxa"/>
            </w:tcMar>
            <w:vAlign w:val="center"/>
            <w:shd w:fill="FFFFFF"/>
          </w:tcPr>
          <w:p>
            <w:pPr>
              <w:spacing w:after="0"/>
            </w:pPr>
            <w:r/>
            <w:r>
              <w:rPr>
                <w:rFonts w:ascii="Aptos" w:hAnsi="Aptos"/>
                <w:b w:val="0"/>
                <w:color w:val="222222"/>
                <w:sz w:val="16"/>
              </w:rPr>
              <w:t>Mandatory through national law</w:t>
            </w:r>
          </w:p>
        </w:tc>
      </w:tr>
      <w:tr>
        <w:tc>
          <w:tcPr>
            <w:tcW w:type="dxa" w:w="4946"/>
            <w:tcMar>
              <w:top w:w="80" w:type="dxa"/>
              <w:start w:w="100" w:type="dxa"/>
              <w:bottom w:w="80" w:type="dxa"/>
              <w:end w:w="100" w:type="dxa"/>
            </w:tcMar>
            <w:vAlign w:val="center"/>
            <w:shd w:fill="2A6F6B"/>
          </w:tcPr>
          <w:p>
            <w:pPr>
              <w:spacing w:after="0"/>
            </w:pPr>
            <w:r/>
            <w:r>
              <w:rPr>
                <w:rFonts w:ascii="Aptos" w:hAnsi="Aptos"/>
                <w:b/>
                <w:color w:val="FFFFFF"/>
                <w:sz w:val="16"/>
              </w:rPr>
              <w:t>Source / provision</w:t>
            </w:r>
          </w:p>
        </w:tc>
        <w:tc>
          <w:tcPr>
            <w:tcW w:type="dxa" w:w="4946"/>
            <w:tcMar>
              <w:top w:w="80" w:type="dxa"/>
              <w:start w:w="100" w:type="dxa"/>
              <w:bottom w:w="80" w:type="dxa"/>
              <w:end w:w="100" w:type="dxa"/>
            </w:tcMar>
            <w:vAlign w:val="center"/>
            <w:shd w:fill="F7F9FA"/>
          </w:tcPr>
          <w:p>
            <w:pPr>
              <w:spacing w:after="0"/>
            </w:pPr>
            <w:r/>
            <w:r>
              <w:rPr>
                <w:rFonts w:ascii="Aptos" w:hAnsi="Aptos"/>
                <w:b w:val="0"/>
                <w:color w:val="222222"/>
                <w:sz w:val="16"/>
              </w:rPr>
              <w:t>Directive 2000/78/EC, especially Arts. 1-5 | S15</w:t>
            </w:r>
          </w:p>
        </w:tc>
      </w:tr>
      <w:tr>
        <w:tc>
          <w:tcPr>
            <w:tcW w:type="dxa" w:w="4946"/>
            <w:tcMar>
              <w:top w:w="80" w:type="dxa"/>
              <w:start w:w="100" w:type="dxa"/>
              <w:bottom w:w="80" w:type="dxa"/>
              <w:end w:w="100" w:type="dxa"/>
            </w:tcMar>
            <w:vAlign w:val="center"/>
            <w:shd w:fill="2A6F6B"/>
          </w:tcPr>
          <w:p>
            <w:pPr>
              <w:spacing w:after="0"/>
            </w:pPr>
            <w:r/>
            <w:r>
              <w:rPr>
                <w:rFonts w:ascii="Aptos" w:hAnsi="Aptos"/>
                <w:b/>
                <w:color w:val="FFFFFF"/>
                <w:sz w:val="16"/>
              </w:rPr>
              <w:t>Applicability</w:t>
            </w:r>
          </w:p>
        </w:tc>
        <w:tc>
          <w:tcPr>
            <w:tcW w:type="dxa" w:w="4946"/>
            <w:tcMar>
              <w:top w:w="80" w:type="dxa"/>
              <w:start w:w="100" w:type="dxa"/>
              <w:bottom w:w="80" w:type="dxa"/>
              <w:end w:w="100" w:type="dxa"/>
            </w:tcMar>
            <w:vAlign w:val="center"/>
            <w:shd w:fill="FFFFFF"/>
          </w:tcPr>
          <w:p>
            <w:pPr>
              <w:spacing w:after="0"/>
            </w:pPr>
            <w:r/>
            <w:r>
              <w:rPr>
                <w:rFonts w:ascii="Aptos" w:hAnsi="Aptos"/>
                <w:b w:val="0"/>
                <w:color w:val="222222"/>
                <w:sz w:val="16"/>
              </w:rPr>
              <w:t>Directly relevant to DuckTalent criteria, accessibility and candidate treatment.</w:t>
            </w:r>
          </w:p>
        </w:tc>
      </w:tr>
      <w:tr>
        <w:tc>
          <w:tcPr>
            <w:tcW w:type="dxa" w:w="4946"/>
            <w:tcMar>
              <w:top w:w="80" w:type="dxa"/>
              <w:start w:w="100" w:type="dxa"/>
              <w:bottom w:w="80" w:type="dxa"/>
              <w:end w:w="100" w:type="dxa"/>
            </w:tcMar>
            <w:vAlign w:val="center"/>
            <w:shd w:fill="2A6F6B"/>
          </w:tcPr>
          <w:p>
            <w:pPr>
              <w:spacing w:after="0"/>
            </w:pPr>
            <w:r/>
            <w:r>
              <w:rPr>
                <w:rFonts w:ascii="Aptos" w:hAnsi="Aptos"/>
                <w:b/>
                <w:color w:val="FFFFFF"/>
                <w:sz w:val="16"/>
              </w:rPr>
              <w:t>Timing / status</w:t>
            </w:r>
          </w:p>
        </w:tc>
        <w:tc>
          <w:tcPr>
            <w:tcW w:type="dxa" w:w="4946"/>
            <w:tcMar>
              <w:top w:w="80" w:type="dxa"/>
              <w:start w:w="100" w:type="dxa"/>
              <w:bottom w:w="80" w:type="dxa"/>
              <w:end w:w="100" w:type="dxa"/>
            </w:tcMar>
            <w:vAlign w:val="center"/>
            <w:shd w:fill="F7F9FA"/>
          </w:tcPr>
          <w:p>
            <w:pPr>
              <w:spacing w:after="0"/>
            </w:pPr>
            <w:r/>
            <w:r>
              <w:rPr>
                <w:rFonts w:ascii="Aptos" w:hAnsi="Aptos"/>
                <w:b w:val="0"/>
                <w:color w:val="222222"/>
                <w:sz w:val="16"/>
              </w:rPr>
              <w:t>Current through Member-State implementing law</w:t>
            </w:r>
          </w:p>
        </w:tc>
      </w:tr>
      <w:tr>
        <w:tc>
          <w:tcPr>
            <w:tcW w:type="dxa" w:w="4946"/>
            <w:tcMar>
              <w:top w:w="80" w:type="dxa"/>
              <w:start w:w="100" w:type="dxa"/>
              <w:bottom w:w="80" w:type="dxa"/>
              <w:end w:w="100" w:type="dxa"/>
            </w:tcMar>
            <w:vAlign w:val="center"/>
            <w:shd w:fill="2A6F6B"/>
          </w:tcPr>
          <w:p>
            <w:pPr>
              <w:spacing w:after="0"/>
            </w:pPr>
            <w:r/>
            <w:r>
              <w:rPr>
                <w:rFonts w:ascii="Aptos" w:hAnsi="Aptos"/>
                <w:b/>
                <w:color w:val="FFFFFF"/>
                <w:sz w:val="16"/>
              </w:rPr>
              <w:t>Uncertainty / action</w:t>
            </w:r>
          </w:p>
        </w:tc>
        <w:tc>
          <w:tcPr>
            <w:tcW w:type="dxa" w:w="4946"/>
            <w:tcMar>
              <w:top w:w="80" w:type="dxa"/>
              <w:start w:w="100" w:type="dxa"/>
              <w:bottom w:w="80" w:type="dxa"/>
              <w:end w:w="100" w:type="dxa"/>
            </w:tcMar>
            <w:vAlign w:val="center"/>
            <w:shd w:fill="FFFFFF"/>
          </w:tcPr>
          <w:p>
            <w:pPr>
              <w:spacing w:after="0"/>
            </w:pPr>
            <w:r/>
            <w:r>
              <w:rPr>
                <w:rFonts w:ascii="Aptos" w:hAnsi="Aptos"/>
                <w:b w:val="0"/>
                <w:color w:val="222222"/>
                <w:sz w:val="16"/>
              </w:rPr>
              <w:t>Uncertainty: High.  Duckworks action: Map national law; validate accessibility and reasonable-accommodation handling; test neutral criteria for indirect discrimination.</w:t>
            </w:r>
          </w:p>
        </w:tc>
      </w:tr>
    </w:tbl>
    <w:p>
      <w:pPr>
        <w:spacing w:after="20"/>
      </w:pPr>
    </w:p>
    <w:p>
      <w:pPr>
        <w:keepNext/>
        <w:spacing w:before="100" w:after="40"/>
      </w:pPr>
      <w:r>
        <w:rPr>
          <w:b/>
          <w:color w:val="17324D"/>
          <w:sz w:val="21"/>
        </w:rPr>
        <w:t>L-23  Direct and indirect sex discrimination in recruitment is prohibited.</w:t>
      </w:r>
    </w:p>
    <w:tbl>
      <w:tblPr>
        <w:tblW w:type="auto" w:w="0"/>
        <w:jc w:val="center"/>
        <w:tblLayout w:type="fixed"/>
        <w:tblLook w:firstColumn="1" w:firstRow="1" w:lastColumn="0" w:lastRow="0" w:noHBand="0" w:noVBand="1" w:val="04A0"/>
      </w:tblPr>
      <w:tblGrid>
        <w:gridCol w:w="1944"/>
        <w:gridCol w:w="8280"/>
      </w:tblGrid>
      <w:tr>
        <w:tc>
          <w:tcPr>
            <w:tcW w:type="dxa" w:w="4946"/>
            <w:tcMar>
              <w:top w:w="80" w:type="dxa"/>
              <w:start w:w="100" w:type="dxa"/>
              <w:bottom w:w="80" w:type="dxa"/>
              <w:end w:w="100" w:type="dxa"/>
            </w:tcMar>
            <w:vAlign w:val="center"/>
            <w:shd w:fill="2A6F6B"/>
          </w:tcPr>
          <w:p>
            <w:pPr>
              <w:spacing w:after="0"/>
            </w:pPr>
            <w:r/>
            <w:r>
              <w:rPr>
                <w:rFonts w:ascii="Aptos" w:hAnsi="Aptos"/>
                <w:b/>
                <w:color w:val="FFFFFF"/>
                <w:sz w:val="16"/>
              </w:rPr>
              <w:t>Classification</w:t>
            </w:r>
          </w:p>
        </w:tc>
        <w:tc>
          <w:tcPr>
            <w:tcW w:type="dxa" w:w="4946"/>
            <w:tcMar>
              <w:top w:w="80" w:type="dxa"/>
              <w:start w:w="100" w:type="dxa"/>
              <w:bottom w:w="80" w:type="dxa"/>
              <w:end w:w="100" w:type="dxa"/>
            </w:tcMar>
            <w:vAlign w:val="center"/>
            <w:shd w:fill="FFFFFF"/>
          </w:tcPr>
          <w:p>
            <w:pPr>
              <w:spacing w:after="0"/>
            </w:pPr>
            <w:r/>
            <w:r>
              <w:rPr>
                <w:rFonts w:ascii="Aptos" w:hAnsi="Aptos"/>
                <w:b w:val="0"/>
                <w:color w:val="222222"/>
                <w:sz w:val="16"/>
              </w:rPr>
              <w:t>Mandatory through national law</w:t>
            </w:r>
          </w:p>
        </w:tc>
      </w:tr>
      <w:tr>
        <w:tc>
          <w:tcPr>
            <w:tcW w:type="dxa" w:w="4946"/>
            <w:tcMar>
              <w:top w:w="80" w:type="dxa"/>
              <w:start w:w="100" w:type="dxa"/>
              <w:bottom w:w="80" w:type="dxa"/>
              <w:end w:w="100" w:type="dxa"/>
            </w:tcMar>
            <w:vAlign w:val="center"/>
            <w:shd w:fill="2A6F6B"/>
          </w:tcPr>
          <w:p>
            <w:pPr>
              <w:spacing w:after="0"/>
            </w:pPr>
            <w:r/>
            <w:r>
              <w:rPr>
                <w:rFonts w:ascii="Aptos" w:hAnsi="Aptos"/>
                <w:b/>
                <w:color w:val="FFFFFF"/>
                <w:sz w:val="16"/>
              </w:rPr>
              <w:t>Source / provision</w:t>
            </w:r>
          </w:p>
        </w:tc>
        <w:tc>
          <w:tcPr>
            <w:tcW w:type="dxa" w:w="4946"/>
            <w:tcMar>
              <w:top w:w="80" w:type="dxa"/>
              <w:start w:w="100" w:type="dxa"/>
              <w:bottom w:w="80" w:type="dxa"/>
              <w:end w:w="100" w:type="dxa"/>
            </w:tcMar>
            <w:vAlign w:val="center"/>
            <w:shd w:fill="F7F9FA"/>
          </w:tcPr>
          <w:p>
            <w:pPr>
              <w:spacing w:after="0"/>
            </w:pPr>
            <w:r/>
            <w:r>
              <w:rPr>
                <w:rFonts w:ascii="Aptos" w:hAnsi="Aptos"/>
                <w:b w:val="0"/>
                <w:color w:val="222222"/>
                <w:sz w:val="16"/>
              </w:rPr>
              <w:t>Directive 2006/54/EC, especially Arts. 2 and 14 | S16</w:t>
            </w:r>
          </w:p>
        </w:tc>
      </w:tr>
      <w:tr>
        <w:tc>
          <w:tcPr>
            <w:tcW w:type="dxa" w:w="4946"/>
            <w:tcMar>
              <w:top w:w="80" w:type="dxa"/>
              <w:start w:w="100" w:type="dxa"/>
              <w:bottom w:w="80" w:type="dxa"/>
              <w:end w:w="100" w:type="dxa"/>
            </w:tcMar>
            <w:vAlign w:val="center"/>
            <w:shd w:fill="2A6F6B"/>
          </w:tcPr>
          <w:p>
            <w:pPr>
              <w:spacing w:after="0"/>
            </w:pPr>
            <w:r/>
            <w:r>
              <w:rPr>
                <w:rFonts w:ascii="Aptos" w:hAnsi="Aptos"/>
                <w:b/>
                <w:color w:val="FFFFFF"/>
                <w:sz w:val="16"/>
              </w:rPr>
              <w:t>Applicability</w:t>
            </w:r>
          </w:p>
        </w:tc>
        <w:tc>
          <w:tcPr>
            <w:tcW w:type="dxa" w:w="4946"/>
            <w:tcMar>
              <w:top w:w="80" w:type="dxa"/>
              <w:start w:w="100" w:type="dxa"/>
              <w:bottom w:w="80" w:type="dxa"/>
              <w:end w:w="100" w:type="dxa"/>
            </w:tcMar>
            <w:vAlign w:val="center"/>
            <w:shd w:fill="FFFFFF"/>
          </w:tcPr>
          <w:p>
            <w:pPr>
              <w:spacing w:after="0"/>
            </w:pPr>
            <w:r/>
            <w:r>
              <w:rPr>
                <w:rFonts w:ascii="Aptos" w:hAnsi="Aptos"/>
                <w:b w:val="0"/>
                <w:color w:val="222222"/>
                <w:sz w:val="16"/>
              </w:rPr>
              <w:t>Directly relevant to DuckTalent.</w:t>
            </w:r>
          </w:p>
        </w:tc>
      </w:tr>
      <w:tr>
        <w:tc>
          <w:tcPr>
            <w:tcW w:type="dxa" w:w="4946"/>
            <w:tcMar>
              <w:top w:w="80" w:type="dxa"/>
              <w:start w:w="100" w:type="dxa"/>
              <w:bottom w:w="80" w:type="dxa"/>
              <w:end w:w="100" w:type="dxa"/>
            </w:tcMar>
            <w:vAlign w:val="center"/>
            <w:shd w:fill="2A6F6B"/>
          </w:tcPr>
          <w:p>
            <w:pPr>
              <w:spacing w:after="0"/>
            </w:pPr>
            <w:r/>
            <w:r>
              <w:rPr>
                <w:rFonts w:ascii="Aptos" w:hAnsi="Aptos"/>
                <w:b/>
                <w:color w:val="FFFFFF"/>
                <w:sz w:val="16"/>
              </w:rPr>
              <w:t>Timing / status</w:t>
            </w:r>
          </w:p>
        </w:tc>
        <w:tc>
          <w:tcPr>
            <w:tcW w:type="dxa" w:w="4946"/>
            <w:tcMar>
              <w:top w:w="80" w:type="dxa"/>
              <w:start w:w="100" w:type="dxa"/>
              <w:bottom w:w="80" w:type="dxa"/>
              <w:end w:w="100" w:type="dxa"/>
            </w:tcMar>
            <w:vAlign w:val="center"/>
            <w:shd w:fill="F7F9FA"/>
          </w:tcPr>
          <w:p>
            <w:pPr>
              <w:spacing w:after="0"/>
            </w:pPr>
            <w:r/>
            <w:r>
              <w:rPr>
                <w:rFonts w:ascii="Aptos" w:hAnsi="Aptos"/>
                <w:b w:val="0"/>
                <w:color w:val="222222"/>
                <w:sz w:val="16"/>
              </w:rPr>
              <w:t>Current through Member-State implementing law</w:t>
            </w:r>
          </w:p>
        </w:tc>
      </w:tr>
      <w:tr>
        <w:tc>
          <w:tcPr>
            <w:tcW w:type="dxa" w:w="4946"/>
            <w:tcMar>
              <w:top w:w="80" w:type="dxa"/>
              <w:start w:w="100" w:type="dxa"/>
              <w:bottom w:w="80" w:type="dxa"/>
              <w:end w:w="100" w:type="dxa"/>
            </w:tcMar>
            <w:vAlign w:val="center"/>
            <w:shd w:fill="2A6F6B"/>
          </w:tcPr>
          <w:p>
            <w:pPr>
              <w:spacing w:after="0"/>
            </w:pPr>
            <w:r/>
            <w:r>
              <w:rPr>
                <w:rFonts w:ascii="Aptos" w:hAnsi="Aptos"/>
                <w:b/>
                <w:color w:val="FFFFFF"/>
                <w:sz w:val="16"/>
              </w:rPr>
              <w:t>Uncertainty / action</w:t>
            </w:r>
          </w:p>
        </w:tc>
        <w:tc>
          <w:tcPr>
            <w:tcW w:type="dxa" w:w="4946"/>
            <w:tcMar>
              <w:top w:w="80" w:type="dxa"/>
              <w:start w:w="100" w:type="dxa"/>
              <w:bottom w:w="80" w:type="dxa"/>
              <w:end w:w="100" w:type="dxa"/>
            </w:tcMar>
            <w:vAlign w:val="center"/>
            <w:shd w:fill="FFFFFF"/>
          </w:tcPr>
          <w:p>
            <w:pPr>
              <w:spacing w:after="0"/>
            </w:pPr>
            <w:r/>
            <w:r>
              <w:rPr>
                <w:rFonts w:ascii="Aptos" w:hAnsi="Aptos"/>
                <w:b w:val="0"/>
                <w:color w:val="222222"/>
                <w:sz w:val="16"/>
              </w:rPr>
              <w:t>Uncertainty: High.  Duckworks action: Include sex-based direct/indirect discrimination testing and national-law review.</w:t>
            </w:r>
          </w:p>
        </w:tc>
      </w:tr>
    </w:tbl>
    <w:p>
      <w:pPr>
        <w:spacing w:after="20"/>
      </w:pPr>
    </w:p>
    <w:p>
      <w:pPr>
        <w:keepNext/>
        <w:spacing w:before="100" w:after="40"/>
      </w:pPr>
      <w:r>
        <w:rPr>
          <w:b/>
          <w:color w:val="17324D"/>
          <w:sz w:val="21"/>
        </w:rPr>
        <w:t>L-24  Duckworks is a strong candidate for NIS2 scope if its manufacturing activity maps to Annex II/NACE machinery manufacturing and national law captures it.</w:t>
      </w:r>
    </w:p>
    <w:tbl>
      <w:tblPr>
        <w:tblW w:type="auto" w:w="0"/>
        <w:jc w:val="center"/>
        <w:tblLayout w:type="fixed"/>
        <w:tblLook w:firstColumn="1" w:firstRow="1" w:lastColumn="0" w:lastRow="0" w:noHBand="0" w:noVBand="1" w:val="04A0"/>
      </w:tblPr>
      <w:tblGrid>
        <w:gridCol w:w="1944"/>
        <w:gridCol w:w="8280"/>
      </w:tblGrid>
      <w:tr>
        <w:tc>
          <w:tcPr>
            <w:tcW w:type="dxa" w:w="4946"/>
            <w:tcMar>
              <w:top w:w="80" w:type="dxa"/>
              <w:start w:w="100" w:type="dxa"/>
              <w:bottom w:w="80" w:type="dxa"/>
              <w:end w:w="100" w:type="dxa"/>
            </w:tcMar>
            <w:vAlign w:val="center"/>
            <w:shd w:fill="2A6F6B"/>
          </w:tcPr>
          <w:p>
            <w:pPr>
              <w:spacing w:after="0"/>
            </w:pPr>
            <w:r/>
            <w:r>
              <w:rPr>
                <w:rFonts w:ascii="Aptos" w:hAnsi="Aptos"/>
                <w:b/>
                <w:color w:val="FFFFFF"/>
                <w:sz w:val="16"/>
              </w:rPr>
              <w:t>Classification</w:t>
            </w:r>
          </w:p>
        </w:tc>
        <w:tc>
          <w:tcPr>
            <w:tcW w:type="dxa" w:w="4946"/>
            <w:tcMar>
              <w:top w:w="80" w:type="dxa"/>
              <w:start w:w="100" w:type="dxa"/>
              <w:bottom w:w="80" w:type="dxa"/>
              <w:end w:w="100" w:type="dxa"/>
            </w:tcMar>
            <w:vAlign w:val="center"/>
            <w:shd w:fill="FFFFFF"/>
          </w:tcPr>
          <w:p>
            <w:pPr>
              <w:spacing w:after="0"/>
            </w:pPr>
            <w:r/>
            <w:r>
              <w:rPr>
                <w:rFonts w:ascii="Aptos" w:hAnsi="Aptos"/>
                <w:b w:val="0"/>
                <w:color w:val="222222"/>
                <w:sz w:val="16"/>
              </w:rPr>
              <w:t>Scope-dependent mandatory requirement</w:t>
            </w:r>
          </w:p>
        </w:tc>
      </w:tr>
      <w:tr>
        <w:tc>
          <w:tcPr>
            <w:tcW w:type="dxa" w:w="4946"/>
            <w:tcMar>
              <w:top w:w="80" w:type="dxa"/>
              <w:start w:w="100" w:type="dxa"/>
              <w:bottom w:w="80" w:type="dxa"/>
              <w:end w:w="100" w:type="dxa"/>
            </w:tcMar>
            <w:vAlign w:val="center"/>
            <w:shd w:fill="2A6F6B"/>
          </w:tcPr>
          <w:p>
            <w:pPr>
              <w:spacing w:after="0"/>
            </w:pPr>
            <w:r/>
            <w:r>
              <w:rPr>
                <w:rFonts w:ascii="Aptos" w:hAnsi="Aptos"/>
                <w:b/>
                <w:color w:val="FFFFFF"/>
                <w:sz w:val="16"/>
              </w:rPr>
              <w:t>Source / provision</w:t>
            </w:r>
          </w:p>
        </w:tc>
        <w:tc>
          <w:tcPr>
            <w:tcW w:type="dxa" w:w="4946"/>
            <w:tcMar>
              <w:top w:w="80" w:type="dxa"/>
              <w:start w:w="100" w:type="dxa"/>
              <w:bottom w:w="80" w:type="dxa"/>
              <w:end w:w="100" w:type="dxa"/>
            </w:tcMar>
            <w:vAlign w:val="center"/>
            <w:shd w:fill="F7F9FA"/>
          </w:tcPr>
          <w:p>
            <w:pPr>
              <w:spacing w:after="0"/>
            </w:pPr>
            <w:r/>
            <w:r>
              <w:rPr>
                <w:rFonts w:ascii="Aptos" w:hAnsi="Aptos"/>
                <w:b w:val="0"/>
                <w:color w:val="222222"/>
                <w:sz w:val="16"/>
              </w:rPr>
              <w:t>NIS2 Arts. 2-3; Annex II (manufacture of machinery and equipment n.e.c.) | S17, S18</w:t>
            </w:r>
          </w:p>
        </w:tc>
      </w:tr>
      <w:tr>
        <w:tc>
          <w:tcPr>
            <w:tcW w:type="dxa" w:w="4946"/>
            <w:tcMar>
              <w:top w:w="80" w:type="dxa"/>
              <w:start w:w="100" w:type="dxa"/>
              <w:bottom w:w="80" w:type="dxa"/>
              <w:end w:w="100" w:type="dxa"/>
            </w:tcMar>
            <w:vAlign w:val="center"/>
            <w:shd w:fill="2A6F6B"/>
          </w:tcPr>
          <w:p>
            <w:pPr>
              <w:spacing w:after="0"/>
            </w:pPr>
            <w:r/>
            <w:r>
              <w:rPr>
                <w:rFonts w:ascii="Aptos" w:hAnsi="Aptos"/>
                <w:b/>
                <w:color w:val="FFFFFF"/>
                <w:sz w:val="16"/>
              </w:rPr>
              <w:t>Applicability</w:t>
            </w:r>
          </w:p>
        </w:tc>
        <w:tc>
          <w:tcPr>
            <w:tcW w:type="dxa" w:w="4946"/>
            <w:tcMar>
              <w:top w:w="80" w:type="dxa"/>
              <w:start w:w="100" w:type="dxa"/>
              <w:bottom w:w="80" w:type="dxa"/>
              <w:end w:w="100" w:type="dxa"/>
            </w:tcMar>
            <w:vAlign w:val="center"/>
            <w:shd w:fill="FFFFFF"/>
          </w:tcPr>
          <w:p>
            <w:pPr>
              <w:spacing w:after="0"/>
            </w:pPr>
            <w:r/>
            <w:r>
              <w:rPr>
                <w:rFonts w:ascii="Aptos" w:hAnsi="Aptos"/>
                <w:b w:val="0"/>
                <w:color w:val="222222"/>
                <w:sz w:val="16"/>
              </w:rPr>
              <w:t>Duckworks has about 1,200 staff and manufactures mechanical/robotic arms. Size and sector point toward likely scope, but exact NACE classification and Member-State implementation remain decisive.</w:t>
            </w:r>
          </w:p>
        </w:tc>
      </w:tr>
      <w:tr>
        <w:tc>
          <w:tcPr>
            <w:tcW w:type="dxa" w:w="4946"/>
            <w:tcMar>
              <w:top w:w="80" w:type="dxa"/>
              <w:start w:w="100" w:type="dxa"/>
              <w:bottom w:w="80" w:type="dxa"/>
              <w:end w:w="100" w:type="dxa"/>
            </w:tcMar>
            <w:vAlign w:val="center"/>
            <w:shd w:fill="2A6F6B"/>
          </w:tcPr>
          <w:p>
            <w:pPr>
              <w:spacing w:after="0"/>
            </w:pPr>
            <w:r/>
            <w:r>
              <w:rPr>
                <w:rFonts w:ascii="Aptos" w:hAnsi="Aptos"/>
                <w:b/>
                <w:color w:val="FFFFFF"/>
                <w:sz w:val="16"/>
              </w:rPr>
              <w:t>Timing / status</w:t>
            </w:r>
          </w:p>
        </w:tc>
        <w:tc>
          <w:tcPr>
            <w:tcW w:type="dxa" w:w="4946"/>
            <w:tcMar>
              <w:top w:w="80" w:type="dxa"/>
              <w:start w:w="100" w:type="dxa"/>
              <w:bottom w:w="80" w:type="dxa"/>
              <w:end w:w="100" w:type="dxa"/>
            </w:tcMar>
            <w:vAlign w:val="center"/>
            <w:shd w:fill="F7F9FA"/>
          </w:tcPr>
          <w:p>
            <w:pPr>
              <w:spacing w:after="0"/>
            </w:pPr>
            <w:r/>
            <w:r>
              <w:rPr>
                <w:rFonts w:ascii="Aptos" w:hAnsi="Aptos"/>
                <w:b w:val="0"/>
                <w:color w:val="222222"/>
                <w:sz w:val="16"/>
              </w:rPr>
              <w:t>Current through national implementing law</w:t>
            </w:r>
          </w:p>
        </w:tc>
      </w:tr>
      <w:tr>
        <w:tc>
          <w:tcPr>
            <w:tcW w:type="dxa" w:w="4946"/>
            <w:tcMar>
              <w:top w:w="80" w:type="dxa"/>
              <w:start w:w="100" w:type="dxa"/>
              <w:bottom w:w="80" w:type="dxa"/>
              <w:end w:w="100" w:type="dxa"/>
            </w:tcMar>
            <w:vAlign w:val="center"/>
            <w:shd w:fill="2A6F6B"/>
          </w:tcPr>
          <w:p>
            <w:pPr>
              <w:spacing w:after="0"/>
            </w:pPr>
            <w:r/>
            <w:r>
              <w:rPr>
                <w:rFonts w:ascii="Aptos" w:hAnsi="Aptos"/>
                <w:b/>
                <w:color w:val="FFFFFF"/>
                <w:sz w:val="16"/>
              </w:rPr>
              <w:t>Uncertainty / action</w:t>
            </w:r>
          </w:p>
        </w:tc>
        <w:tc>
          <w:tcPr>
            <w:tcW w:type="dxa" w:w="4946"/>
            <w:tcMar>
              <w:top w:w="80" w:type="dxa"/>
              <w:start w:w="100" w:type="dxa"/>
              <w:bottom w:w="80" w:type="dxa"/>
              <w:end w:w="100" w:type="dxa"/>
            </w:tcMar>
            <w:vAlign w:val="center"/>
            <w:shd w:fill="FFFFFF"/>
          </w:tcPr>
          <w:p>
            <w:pPr>
              <w:spacing w:after="0"/>
            </w:pPr>
            <w:r/>
            <w:r>
              <w:rPr>
                <w:rFonts w:ascii="Aptos" w:hAnsi="Aptos"/>
                <w:b w:val="0"/>
                <w:color w:val="222222"/>
                <w:sz w:val="16"/>
              </w:rPr>
              <w:t>Uncertainty: High.  Duckworks action: Change portfolio status from merely "possible" to "likely subject to NACE and national-law confirmation"; obtain country-specific legal mapping.</w:t>
            </w:r>
          </w:p>
        </w:tc>
      </w:tr>
    </w:tbl>
    <w:p>
      <w:pPr>
        <w:spacing w:after="20"/>
      </w:pPr>
    </w:p>
    <w:p>
      <w:pPr>
        <w:keepNext/>
        <w:spacing w:before="100" w:after="40"/>
      </w:pPr>
      <w:r>
        <w:rPr>
          <w:b/>
          <w:color w:val="17324D"/>
          <w:sz w:val="21"/>
        </w:rPr>
        <w:t>L-25  If NIS2 applies, management accountability, cybersecurity risk-management and incident-reporting duties cover the wider environment supporting AI.</w:t>
      </w:r>
    </w:p>
    <w:tbl>
      <w:tblPr>
        <w:tblW w:type="auto" w:w="0"/>
        <w:jc w:val="center"/>
        <w:tblLayout w:type="fixed"/>
        <w:tblLook w:firstColumn="1" w:firstRow="1" w:lastColumn="0" w:lastRow="0" w:noHBand="0" w:noVBand="1" w:val="04A0"/>
      </w:tblPr>
      <w:tblGrid>
        <w:gridCol w:w="1944"/>
        <w:gridCol w:w="8280"/>
      </w:tblGrid>
      <w:tr>
        <w:tc>
          <w:tcPr>
            <w:tcW w:type="dxa" w:w="4946"/>
            <w:tcMar>
              <w:top w:w="80" w:type="dxa"/>
              <w:start w:w="100" w:type="dxa"/>
              <w:bottom w:w="80" w:type="dxa"/>
              <w:end w:w="100" w:type="dxa"/>
            </w:tcMar>
            <w:vAlign w:val="center"/>
            <w:shd w:fill="2A6F6B"/>
          </w:tcPr>
          <w:p>
            <w:pPr>
              <w:spacing w:after="0"/>
            </w:pPr>
            <w:r/>
            <w:r>
              <w:rPr>
                <w:rFonts w:ascii="Aptos" w:hAnsi="Aptos"/>
                <w:b/>
                <w:color w:val="FFFFFF"/>
                <w:sz w:val="16"/>
              </w:rPr>
              <w:t>Classification</w:t>
            </w:r>
          </w:p>
        </w:tc>
        <w:tc>
          <w:tcPr>
            <w:tcW w:type="dxa" w:w="4946"/>
            <w:tcMar>
              <w:top w:w="80" w:type="dxa"/>
              <w:start w:w="100" w:type="dxa"/>
              <w:bottom w:w="80" w:type="dxa"/>
              <w:end w:w="100" w:type="dxa"/>
            </w:tcMar>
            <w:vAlign w:val="center"/>
            <w:shd w:fill="FFFFFF"/>
          </w:tcPr>
          <w:p>
            <w:pPr>
              <w:spacing w:after="0"/>
            </w:pPr>
            <w:r/>
            <w:r>
              <w:rPr>
                <w:rFonts w:ascii="Aptos" w:hAnsi="Aptos"/>
                <w:b w:val="0"/>
                <w:color w:val="222222"/>
                <w:sz w:val="16"/>
              </w:rPr>
              <w:t>Scope-dependent mandatory requirement</w:t>
            </w:r>
          </w:p>
        </w:tc>
      </w:tr>
      <w:tr>
        <w:tc>
          <w:tcPr>
            <w:tcW w:type="dxa" w:w="4946"/>
            <w:tcMar>
              <w:top w:w="80" w:type="dxa"/>
              <w:start w:w="100" w:type="dxa"/>
              <w:bottom w:w="80" w:type="dxa"/>
              <w:end w:w="100" w:type="dxa"/>
            </w:tcMar>
            <w:vAlign w:val="center"/>
            <w:shd w:fill="2A6F6B"/>
          </w:tcPr>
          <w:p>
            <w:pPr>
              <w:spacing w:after="0"/>
            </w:pPr>
            <w:r/>
            <w:r>
              <w:rPr>
                <w:rFonts w:ascii="Aptos" w:hAnsi="Aptos"/>
                <w:b/>
                <w:color w:val="FFFFFF"/>
                <w:sz w:val="16"/>
              </w:rPr>
              <w:t>Source / provision</w:t>
            </w:r>
          </w:p>
        </w:tc>
        <w:tc>
          <w:tcPr>
            <w:tcW w:type="dxa" w:w="4946"/>
            <w:tcMar>
              <w:top w:w="80" w:type="dxa"/>
              <w:start w:w="100" w:type="dxa"/>
              <w:bottom w:w="80" w:type="dxa"/>
              <w:end w:w="100" w:type="dxa"/>
            </w:tcMar>
            <w:vAlign w:val="center"/>
            <w:shd w:fill="F7F9FA"/>
          </w:tcPr>
          <w:p>
            <w:pPr>
              <w:spacing w:after="0"/>
            </w:pPr>
            <w:r/>
            <w:r>
              <w:rPr>
                <w:rFonts w:ascii="Aptos" w:hAnsi="Aptos"/>
                <w:b w:val="0"/>
                <w:color w:val="222222"/>
                <w:sz w:val="16"/>
              </w:rPr>
              <w:t>NIS2 Arts. 20, 21 and 23 | S17, S18</w:t>
            </w:r>
          </w:p>
        </w:tc>
      </w:tr>
      <w:tr>
        <w:tc>
          <w:tcPr>
            <w:tcW w:type="dxa" w:w="4946"/>
            <w:tcMar>
              <w:top w:w="80" w:type="dxa"/>
              <w:start w:w="100" w:type="dxa"/>
              <w:bottom w:w="80" w:type="dxa"/>
              <w:end w:w="100" w:type="dxa"/>
            </w:tcMar>
            <w:vAlign w:val="center"/>
            <w:shd w:fill="2A6F6B"/>
          </w:tcPr>
          <w:p>
            <w:pPr>
              <w:spacing w:after="0"/>
            </w:pPr>
            <w:r/>
            <w:r>
              <w:rPr>
                <w:rFonts w:ascii="Aptos" w:hAnsi="Aptos"/>
                <w:b/>
                <w:color w:val="FFFFFF"/>
                <w:sz w:val="16"/>
              </w:rPr>
              <w:t>Applicability</w:t>
            </w:r>
          </w:p>
        </w:tc>
        <w:tc>
          <w:tcPr>
            <w:tcW w:type="dxa" w:w="4946"/>
            <w:tcMar>
              <w:top w:w="80" w:type="dxa"/>
              <w:start w:w="100" w:type="dxa"/>
              <w:bottom w:w="80" w:type="dxa"/>
              <w:end w:w="100" w:type="dxa"/>
            </w:tcMar>
            <w:vAlign w:val="center"/>
            <w:shd w:fill="FFFFFF"/>
          </w:tcPr>
          <w:p>
            <w:pPr>
              <w:spacing w:after="0"/>
            </w:pPr>
            <w:r/>
            <w:r>
              <w:rPr>
                <w:rFonts w:ascii="Aptos" w:hAnsi="Aptos"/>
                <w:b w:val="0"/>
                <w:color w:val="222222"/>
                <w:sz w:val="16"/>
              </w:rPr>
              <w:t>AI platforms, suppliers, cloud services, APIs and product systems would sit within organizational cybersecurity risk management where they support the in-scope entity.</w:t>
            </w:r>
          </w:p>
        </w:tc>
      </w:tr>
      <w:tr>
        <w:tc>
          <w:tcPr>
            <w:tcW w:type="dxa" w:w="4946"/>
            <w:tcMar>
              <w:top w:w="80" w:type="dxa"/>
              <w:start w:w="100" w:type="dxa"/>
              <w:bottom w:w="80" w:type="dxa"/>
              <w:end w:w="100" w:type="dxa"/>
            </w:tcMar>
            <w:vAlign w:val="center"/>
            <w:shd w:fill="2A6F6B"/>
          </w:tcPr>
          <w:p>
            <w:pPr>
              <w:spacing w:after="0"/>
            </w:pPr>
            <w:r/>
            <w:r>
              <w:rPr>
                <w:rFonts w:ascii="Aptos" w:hAnsi="Aptos"/>
                <w:b/>
                <w:color w:val="FFFFFF"/>
                <w:sz w:val="16"/>
              </w:rPr>
              <w:t>Timing / status</w:t>
            </w:r>
          </w:p>
        </w:tc>
        <w:tc>
          <w:tcPr>
            <w:tcW w:type="dxa" w:w="4946"/>
            <w:tcMar>
              <w:top w:w="80" w:type="dxa"/>
              <w:start w:w="100" w:type="dxa"/>
              <w:bottom w:w="80" w:type="dxa"/>
              <w:end w:w="100" w:type="dxa"/>
            </w:tcMar>
            <w:vAlign w:val="center"/>
            <w:shd w:fill="F7F9FA"/>
          </w:tcPr>
          <w:p>
            <w:pPr>
              <w:spacing w:after="0"/>
            </w:pPr>
            <w:r/>
            <w:r>
              <w:rPr>
                <w:rFonts w:ascii="Aptos" w:hAnsi="Aptos"/>
                <w:b w:val="0"/>
                <w:color w:val="222222"/>
                <w:sz w:val="16"/>
              </w:rPr>
              <w:t>Current through national implementing law</w:t>
            </w:r>
          </w:p>
        </w:tc>
      </w:tr>
      <w:tr>
        <w:tc>
          <w:tcPr>
            <w:tcW w:type="dxa" w:w="4946"/>
            <w:tcMar>
              <w:top w:w="80" w:type="dxa"/>
              <w:start w:w="100" w:type="dxa"/>
              <w:bottom w:w="80" w:type="dxa"/>
              <w:end w:w="100" w:type="dxa"/>
            </w:tcMar>
            <w:vAlign w:val="center"/>
            <w:shd w:fill="2A6F6B"/>
          </w:tcPr>
          <w:p>
            <w:pPr>
              <w:spacing w:after="0"/>
            </w:pPr>
            <w:r/>
            <w:r>
              <w:rPr>
                <w:rFonts w:ascii="Aptos" w:hAnsi="Aptos"/>
                <w:b/>
                <w:color w:val="FFFFFF"/>
                <w:sz w:val="16"/>
              </w:rPr>
              <w:t>Uncertainty / action</w:t>
            </w:r>
          </w:p>
        </w:tc>
        <w:tc>
          <w:tcPr>
            <w:tcW w:type="dxa" w:w="4946"/>
            <w:tcMar>
              <w:top w:w="80" w:type="dxa"/>
              <w:start w:w="100" w:type="dxa"/>
              <w:bottom w:w="80" w:type="dxa"/>
              <w:end w:w="100" w:type="dxa"/>
            </w:tcMar>
            <w:vAlign w:val="center"/>
            <w:shd w:fill="FFFFFF"/>
          </w:tcPr>
          <w:p>
            <w:pPr>
              <w:spacing w:after="0"/>
            </w:pPr>
            <w:r/>
            <w:r>
              <w:rPr>
                <w:rFonts w:ascii="Aptos" w:hAnsi="Aptos"/>
                <w:b w:val="0"/>
                <w:color w:val="222222"/>
                <w:sz w:val="16"/>
              </w:rPr>
              <w:t>Uncertainty: High.  Duckworks action: Map existing ISO 27001 controls to NIS2, including supply chain, incident handling, continuity, vulnerability management, access control and management oversight.</w:t>
            </w:r>
          </w:p>
        </w:tc>
      </w:tr>
    </w:tbl>
    <w:p>
      <w:pPr>
        <w:spacing w:after="20"/>
      </w:pPr>
    </w:p>
    <w:p>
      <w:pPr>
        <w:keepNext/>
        <w:spacing w:before="100" w:after="40"/>
      </w:pPr>
      <w:r>
        <w:rPr>
          <w:b/>
          <w:color w:val="17324D"/>
          <w:sz w:val="21"/>
        </w:rPr>
        <w:t>L-26  Until transition, machinery placed on the EU market remains governed principally by Machinery Directive 2006/42/EC where in scope.</w:t>
      </w:r>
    </w:p>
    <w:tbl>
      <w:tblPr>
        <w:tblW w:type="auto" w:w="0"/>
        <w:jc w:val="center"/>
        <w:tblLayout w:type="fixed"/>
        <w:tblLook w:firstColumn="1" w:firstRow="1" w:lastColumn="0" w:lastRow="0" w:noHBand="0" w:noVBand="1" w:val="04A0"/>
      </w:tblPr>
      <w:tblGrid>
        <w:gridCol w:w="1944"/>
        <w:gridCol w:w="8280"/>
      </w:tblGrid>
      <w:tr>
        <w:tc>
          <w:tcPr>
            <w:tcW w:type="dxa" w:w="4946"/>
            <w:tcMar>
              <w:top w:w="80" w:type="dxa"/>
              <w:start w:w="100" w:type="dxa"/>
              <w:bottom w:w="80" w:type="dxa"/>
              <w:end w:w="100" w:type="dxa"/>
            </w:tcMar>
            <w:vAlign w:val="center"/>
            <w:shd w:fill="2A6F6B"/>
          </w:tcPr>
          <w:p>
            <w:pPr>
              <w:spacing w:after="0"/>
            </w:pPr>
            <w:r/>
            <w:r>
              <w:rPr>
                <w:rFonts w:ascii="Aptos" w:hAnsi="Aptos"/>
                <w:b/>
                <w:color w:val="FFFFFF"/>
                <w:sz w:val="16"/>
              </w:rPr>
              <w:t>Classification</w:t>
            </w:r>
          </w:p>
        </w:tc>
        <w:tc>
          <w:tcPr>
            <w:tcW w:type="dxa" w:w="4946"/>
            <w:tcMar>
              <w:top w:w="80" w:type="dxa"/>
              <w:start w:w="100" w:type="dxa"/>
              <w:bottom w:w="80" w:type="dxa"/>
              <w:end w:w="100" w:type="dxa"/>
            </w:tcMar>
            <w:vAlign w:val="center"/>
            <w:shd w:fill="FFFFFF"/>
          </w:tcPr>
          <w:p>
            <w:pPr>
              <w:spacing w:after="0"/>
            </w:pPr>
            <w:r/>
            <w:r>
              <w:rPr>
                <w:rFonts w:ascii="Aptos" w:hAnsi="Aptos"/>
                <w:b w:val="0"/>
                <w:color w:val="222222"/>
                <w:sz w:val="16"/>
              </w:rPr>
              <w:t>Current product-safety requirement</w:t>
            </w:r>
          </w:p>
        </w:tc>
      </w:tr>
      <w:tr>
        <w:tc>
          <w:tcPr>
            <w:tcW w:type="dxa" w:w="4946"/>
            <w:tcMar>
              <w:top w:w="80" w:type="dxa"/>
              <w:start w:w="100" w:type="dxa"/>
              <w:bottom w:w="80" w:type="dxa"/>
              <w:end w:w="100" w:type="dxa"/>
            </w:tcMar>
            <w:vAlign w:val="center"/>
            <w:shd w:fill="2A6F6B"/>
          </w:tcPr>
          <w:p>
            <w:pPr>
              <w:spacing w:after="0"/>
            </w:pPr>
            <w:r/>
            <w:r>
              <w:rPr>
                <w:rFonts w:ascii="Aptos" w:hAnsi="Aptos"/>
                <w:b/>
                <w:color w:val="FFFFFF"/>
                <w:sz w:val="16"/>
              </w:rPr>
              <w:t>Source / provision</w:t>
            </w:r>
          </w:p>
        </w:tc>
        <w:tc>
          <w:tcPr>
            <w:tcW w:type="dxa" w:w="4946"/>
            <w:tcMar>
              <w:top w:w="80" w:type="dxa"/>
              <w:start w:w="100" w:type="dxa"/>
              <w:bottom w:w="80" w:type="dxa"/>
              <w:end w:w="100" w:type="dxa"/>
            </w:tcMar>
            <w:vAlign w:val="center"/>
            <w:shd w:fill="F7F9FA"/>
          </w:tcPr>
          <w:p>
            <w:pPr>
              <w:spacing w:after="0"/>
            </w:pPr>
            <w:r/>
            <w:r>
              <w:rPr>
                <w:rFonts w:ascii="Aptos" w:hAnsi="Aptos"/>
                <w:b w:val="0"/>
                <w:color w:val="222222"/>
                <w:sz w:val="16"/>
              </w:rPr>
              <w:t>Machinery Directive Art. 5 and Annex I | S21, S23</w:t>
            </w:r>
          </w:p>
        </w:tc>
      </w:tr>
      <w:tr>
        <w:tc>
          <w:tcPr>
            <w:tcW w:type="dxa" w:w="4946"/>
            <w:tcMar>
              <w:top w:w="80" w:type="dxa"/>
              <w:start w:w="100" w:type="dxa"/>
              <w:bottom w:w="80" w:type="dxa"/>
              <w:end w:w="100" w:type="dxa"/>
            </w:tcMar>
            <w:vAlign w:val="center"/>
            <w:shd w:fill="2A6F6B"/>
          </w:tcPr>
          <w:p>
            <w:pPr>
              <w:spacing w:after="0"/>
            </w:pPr>
            <w:r/>
            <w:r>
              <w:rPr>
                <w:rFonts w:ascii="Aptos" w:hAnsi="Aptos"/>
                <w:b/>
                <w:color w:val="FFFFFF"/>
                <w:sz w:val="16"/>
              </w:rPr>
              <w:t>Applicability</w:t>
            </w:r>
          </w:p>
        </w:tc>
        <w:tc>
          <w:tcPr>
            <w:tcW w:type="dxa" w:w="4946"/>
            <w:tcMar>
              <w:top w:w="80" w:type="dxa"/>
              <w:start w:w="100" w:type="dxa"/>
              <w:bottom w:w="80" w:type="dxa"/>
              <w:end w:w="100" w:type="dxa"/>
            </w:tcMar>
            <w:vAlign w:val="center"/>
            <w:shd w:fill="FFFFFF"/>
          </w:tcPr>
          <w:p>
            <w:pPr>
              <w:spacing w:after="0"/>
            </w:pPr>
            <w:r/>
            <w:r>
              <w:rPr>
                <w:rFonts w:ascii="Aptos" w:hAnsi="Aptos"/>
                <w:b w:val="0"/>
                <w:color w:val="222222"/>
                <w:sz w:val="16"/>
              </w:rPr>
              <w:t>Relevant to Duckworks mechanical/robotic arms and to AI-assisted engineering/inspection insofar as those processes influence product conformity and safety evidence.</w:t>
            </w:r>
          </w:p>
        </w:tc>
      </w:tr>
      <w:tr>
        <w:tc>
          <w:tcPr>
            <w:tcW w:type="dxa" w:w="4946"/>
            <w:tcMar>
              <w:top w:w="80" w:type="dxa"/>
              <w:start w:w="100" w:type="dxa"/>
              <w:bottom w:w="80" w:type="dxa"/>
              <w:end w:w="100" w:type="dxa"/>
            </w:tcMar>
            <w:vAlign w:val="center"/>
            <w:shd w:fill="2A6F6B"/>
          </w:tcPr>
          <w:p>
            <w:pPr>
              <w:spacing w:after="0"/>
            </w:pPr>
            <w:r/>
            <w:r>
              <w:rPr>
                <w:rFonts w:ascii="Aptos" w:hAnsi="Aptos"/>
                <w:b/>
                <w:color w:val="FFFFFF"/>
                <w:sz w:val="16"/>
              </w:rPr>
              <w:t>Timing / status</w:t>
            </w:r>
          </w:p>
        </w:tc>
        <w:tc>
          <w:tcPr>
            <w:tcW w:type="dxa" w:w="4946"/>
            <w:tcMar>
              <w:top w:w="80" w:type="dxa"/>
              <w:start w:w="100" w:type="dxa"/>
              <w:bottom w:w="80" w:type="dxa"/>
              <w:end w:w="100" w:type="dxa"/>
            </w:tcMar>
            <w:vAlign w:val="center"/>
            <w:shd w:fill="F7F9FA"/>
          </w:tcPr>
          <w:p>
            <w:pPr>
              <w:spacing w:after="0"/>
            </w:pPr>
            <w:r/>
            <w:r>
              <w:rPr>
                <w:rFonts w:ascii="Aptos" w:hAnsi="Aptos"/>
                <w:b w:val="0"/>
                <w:color w:val="222222"/>
                <w:sz w:val="16"/>
              </w:rPr>
              <w:t>Generally until 19 Jan 2027</w:t>
            </w:r>
          </w:p>
        </w:tc>
      </w:tr>
      <w:tr>
        <w:tc>
          <w:tcPr>
            <w:tcW w:type="dxa" w:w="4946"/>
            <w:tcMar>
              <w:top w:w="80" w:type="dxa"/>
              <w:start w:w="100" w:type="dxa"/>
              <w:bottom w:w="80" w:type="dxa"/>
              <w:end w:w="100" w:type="dxa"/>
            </w:tcMar>
            <w:vAlign w:val="center"/>
            <w:shd w:fill="2A6F6B"/>
          </w:tcPr>
          <w:p>
            <w:pPr>
              <w:spacing w:after="0"/>
            </w:pPr>
            <w:r/>
            <w:r>
              <w:rPr>
                <w:rFonts w:ascii="Aptos" w:hAnsi="Aptos"/>
                <w:b/>
                <w:color w:val="FFFFFF"/>
                <w:sz w:val="16"/>
              </w:rPr>
              <w:t>Uncertainty / action</w:t>
            </w:r>
          </w:p>
        </w:tc>
        <w:tc>
          <w:tcPr>
            <w:tcW w:type="dxa" w:w="4946"/>
            <w:tcMar>
              <w:top w:w="80" w:type="dxa"/>
              <w:start w:w="100" w:type="dxa"/>
              <w:bottom w:w="80" w:type="dxa"/>
              <w:end w:w="100" w:type="dxa"/>
            </w:tcMar>
            <w:vAlign w:val="center"/>
            <w:shd w:fill="FFFFFF"/>
          </w:tcPr>
          <w:p>
            <w:pPr>
              <w:spacing w:after="0"/>
            </w:pPr>
            <w:r/>
            <w:r>
              <w:rPr>
                <w:rFonts w:ascii="Aptos" w:hAnsi="Aptos"/>
                <w:b w:val="0"/>
                <w:color w:val="222222"/>
                <w:sz w:val="16"/>
              </w:rPr>
              <w:t>Uncertainty: High.  Duckworks action: Maintain current machinery conformity evidence and trace how AI-assisted design/inspection affects safety decisions.</w:t>
            </w:r>
          </w:p>
        </w:tc>
      </w:tr>
    </w:tbl>
    <w:p>
      <w:pPr>
        <w:spacing w:after="20"/>
      </w:pPr>
    </w:p>
    <w:p>
      <w:pPr>
        <w:keepNext/>
        <w:spacing w:before="100" w:after="40"/>
      </w:pPr>
      <w:r>
        <w:rPr>
          <w:b/>
          <w:color w:val="17324D"/>
          <w:sz w:val="21"/>
        </w:rPr>
        <w:t>L-27  Machinery Regulation (EU) 2023/1230 generally becomes the replacement machinery regime from 20 January 2027.</w:t>
      </w:r>
    </w:p>
    <w:tbl>
      <w:tblPr>
        <w:tblW w:type="auto" w:w="0"/>
        <w:jc w:val="center"/>
        <w:tblLayout w:type="fixed"/>
        <w:tblLook w:firstColumn="1" w:firstRow="1" w:lastColumn="0" w:lastRow="0" w:noHBand="0" w:noVBand="1" w:val="04A0"/>
      </w:tblPr>
      <w:tblGrid>
        <w:gridCol w:w="1944"/>
        <w:gridCol w:w="8280"/>
      </w:tblGrid>
      <w:tr>
        <w:tc>
          <w:tcPr>
            <w:tcW w:type="dxa" w:w="4946"/>
            <w:tcMar>
              <w:top w:w="80" w:type="dxa"/>
              <w:start w:w="100" w:type="dxa"/>
              <w:bottom w:w="80" w:type="dxa"/>
              <w:end w:w="100" w:type="dxa"/>
            </w:tcMar>
            <w:vAlign w:val="center"/>
            <w:shd w:fill="2A6F6B"/>
          </w:tcPr>
          <w:p>
            <w:pPr>
              <w:spacing w:after="0"/>
            </w:pPr>
            <w:r/>
            <w:r>
              <w:rPr>
                <w:rFonts w:ascii="Aptos" w:hAnsi="Aptos"/>
                <w:b/>
                <w:color w:val="FFFFFF"/>
                <w:sz w:val="16"/>
              </w:rPr>
              <w:t>Classification</w:t>
            </w:r>
          </w:p>
        </w:tc>
        <w:tc>
          <w:tcPr>
            <w:tcW w:type="dxa" w:w="4946"/>
            <w:tcMar>
              <w:top w:w="80" w:type="dxa"/>
              <w:start w:w="100" w:type="dxa"/>
              <w:bottom w:w="80" w:type="dxa"/>
              <w:end w:w="100" w:type="dxa"/>
            </w:tcMar>
            <w:vAlign w:val="center"/>
            <w:shd w:fill="FFFFFF"/>
          </w:tcPr>
          <w:p>
            <w:pPr>
              <w:spacing w:after="0"/>
            </w:pPr>
            <w:r/>
            <w:r>
              <w:rPr>
                <w:rFonts w:ascii="Aptos" w:hAnsi="Aptos"/>
                <w:b w:val="0"/>
                <w:color w:val="222222"/>
                <w:sz w:val="16"/>
              </w:rPr>
              <w:t>Future product-safety requirement</w:t>
            </w:r>
          </w:p>
        </w:tc>
      </w:tr>
      <w:tr>
        <w:tc>
          <w:tcPr>
            <w:tcW w:type="dxa" w:w="4946"/>
            <w:tcMar>
              <w:top w:w="80" w:type="dxa"/>
              <w:start w:w="100" w:type="dxa"/>
              <w:bottom w:w="80" w:type="dxa"/>
              <w:end w:w="100" w:type="dxa"/>
            </w:tcMar>
            <w:vAlign w:val="center"/>
            <w:shd w:fill="2A6F6B"/>
          </w:tcPr>
          <w:p>
            <w:pPr>
              <w:spacing w:after="0"/>
            </w:pPr>
            <w:r/>
            <w:r>
              <w:rPr>
                <w:rFonts w:ascii="Aptos" w:hAnsi="Aptos"/>
                <w:b/>
                <w:color w:val="FFFFFF"/>
                <w:sz w:val="16"/>
              </w:rPr>
              <w:t>Source / provision</w:t>
            </w:r>
          </w:p>
        </w:tc>
        <w:tc>
          <w:tcPr>
            <w:tcW w:type="dxa" w:w="4946"/>
            <w:tcMar>
              <w:top w:w="80" w:type="dxa"/>
              <w:start w:w="100" w:type="dxa"/>
              <w:bottom w:w="80" w:type="dxa"/>
              <w:end w:w="100" w:type="dxa"/>
            </w:tcMar>
            <w:vAlign w:val="center"/>
            <w:shd w:fill="F7F9FA"/>
          </w:tcPr>
          <w:p>
            <w:pPr>
              <w:spacing w:after="0"/>
            </w:pPr>
            <w:r/>
            <w:r>
              <w:rPr>
                <w:rFonts w:ascii="Aptos" w:hAnsi="Aptos"/>
                <w:b w:val="0"/>
                <w:color w:val="222222"/>
                <w:sz w:val="16"/>
              </w:rPr>
              <w:t>Machinery Regulation, especially manufacturer obligations and Annex III essential health/safety requirements | S22, S23</w:t>
            </w:r>
          </w:p>
        </w:tc>
      </w:tr>
      <w:tr>
        <w:tc>
          <w:tcPr>
            <w:tcW w:type="dxa" w:w="4946"/>
            <w:tcMar>
              <w:top w:w="80" w:type="dxa"/>
              <w:start w:w="100" w:type="dxa"/>
              <w:bottom w:w="80" w:type="dxa"/>
              <w:end w:w="100" w:type="dxa"/>
            </w:tcMar>
            <w:vAlign w:val="center"/>
            <w:shd w:fill="2A6F6B"/>
          </w:tcPr>
          <w:p>
            <w:pPr>
              <w:spacing w:after="0"/>
            </w:pPr>
            <w:r/>
            <w:r>
              <w:rPr>
                <w:rFonts w:ascii="Aptos" w:hAnsi="Aptos"/>
                <w:b/>
                <w:color w:val="FFFFFF"/>
                <w:sz w:val="16"/>
              </w:rPr>
              <w:t>Applicability</w:t>
            </w:r>
          </w:p>
        </w:tc>
        <w:tc>
          <w:tcPr>
            <w:tcW w:type="dxa" w:w="4946"/>
            <w:tcMar>
              <w:top w:w="80" w:type="dxa"/>
              <w:start w:w="100" w:type="dxa"/>
              <w:bottom w:w="80" w:type="dxa"/>
              <w:end w:w="100" w:type="dxa"/>
            </w:tcMar>
            <w:vAlign w:val="center"/>
            <w:shd w:fill="FFFFFF"/>
          </w:tcPr>
          <w:p>
            <w:pPr>
              <w:spacing w:after="0"/>
            </w:pPr>
            <w:r/>
            <w:r>
              <w:rPr>
                <w:rFonts w:ascii="Aptos" w:hAnsi="Aptos"/>
                <w:b w:val="0"/>
                <w:color w:val="222222"/>
                <w:sz w:val="16"/>
              </w:rPr>
              <w:t>Likely relevant to Duckworks machinery products.</w:t>
            </w:r>
          </w:p>
        </w:tc>
      </w:tr>
      <w:tr>
        <w:tc>
          <w:tcPr>
            <w:tcW w:type="dxa" w:w="4946"/>
            <w:tcMar>
              <w:top w:w="80" w:type="dxa"/>
              <w:start w:w="100" w:type="dxa"/>
              <w:bottom w:w="80" w:type="dxa"/>
              <w:end w:w="100" w:type="dxa"/>
            </w:tcMar>
            <w:vAlign w:val="center"/>
            <w:shd w:fill="2A6F6B"/>
          </w:tcPr>
          <w:p>
            <w:pPr>
              <w:spacing w:after="0"/>
            </w:pPr>
            <w:r/>
            <w:r>
              <w:rPr>
                <w:rFonts w:ascii="Aptos" w:hAnsi="Aptos"/>
                <w:b/>
                <w:color w:val="FFFFFF"/>
                <w:sz w:val="16"/>
              </w:rPr>
              <w:t>Timing / status</w:t>
            </w:r>
          </w:p>
        </w:tc>
        <w:tc>
          <w:tcPr>
            <w:tcW w:type="dxa" w:w="4946"/>
            <w:tcMar>
              <w:top w:w="80" w:type="dxa"/>
              <w:start w:w="100" w:type="dxa"/>
              <w:bottom w:w="80" w:type="dxa"/>
              <w:end w:w="100" w:type="dxa"/>
            </w:tcMar>
            <w:vAlign w:val="center"/>
            <w:shd w:fill="F7F9FA"/>
          </w:tcPr>
          <w:p>
            <w:pPr>
              <w:spacing w:after="0"/>
            </w:pPr>
            <w:r/>
            <w:r>
              <w:rPr>
                <w:rFonts w:ascii="Aptos" w:hAnsi="Aptos"/>
                <w:b w:val="0"/>
                <w:color w:val="222222"/>
                <w:sz w:val="16"/>
              </w:rPr>
              <w:t>Generally from 20 Jan 2027</w:t>
            </w:r>
          </w:p>
        </w:tc>
      </w:tr>
      <w:tr>
        <w:tc>
          <w:tcPr>
            <w:tcW w:type="dxa" w:w="4946"/>
            <w:tcMar>
              <w:top w:w="80" w:type="dxa"/>
              <w:start w:w="100" w:type="dxa"/>
              <w:bottom w:w="80" w:type="dxa"/>
              <w:end w:w="100" w:type="dxa"/>
            </w:tcMar>
            <w:vAlign w:val="center"/>
            <w:shd w:fill="2A6F6B"/>
          </w:tcPr>
          <w:p>
            <w:pPr>
              <w:spacing w:after="0"/>
            </w:pPr>
            <w:r/>
            <w:r>
              <w:rPr>
                <w:rFonts w:ascii="Aptos" w:hAnsi="Aptos"/>
                <w:b/>
                <w:color w:val="FFFFFF"/>
                <w:sz w:val="16"/>
              </w:rPr>
              <w:t>Uncertainty / action</w:t>
            </w:r>
          </w:p>
        </w:tc>
        <w:tc>
          <w:tcPr>
            <w:tcW w:type="dxa" w:w="4946"/>
            <w:tcMar>
              <w:top w:w="80" w:type="dxa"/>
              <w:start w:w="100" w:type="dxa"/>
              <w:bottom w:w="80" w:type="dxa"/>
              <w:end w:w="100" w:type="dxa"/>
            </w:tcMar>
            <w:vAlign w:val="center"/>
            <w:shd w:fill="FFFFFF"/>
          </w:tcPr>
          <w:p>
            <w:pPr>
              <w:spacing w:after="0"/>
            </w:pPr>
            <w:r/>
            <w:r>
              <w:rPr>
                <w:rFonts w:ascii="Aptos" w:hAnsi="Aptos"/>
                <w:b w:val="0"/>
                <w:color w:val="222222"/>
                <w:sz w:val="16"/>
              </w:rPr>
              <w:t>Uncertainty: Medium.  Duckworks action: Create a transition workstream and align AI/product change evidence with the new machinery conformity process.</w:t>
            </w:r>
          </w:p>
        </w:tc>
      </w:tr>
    </w:tbl>
    <w:p>
      <w:pPr>
        <w:spacing w:after="20"/>
      </w:pPr>
    </w:p>
    <w:p>
      <w:pPr>
        <w:keepNext/>
        <w:spacing w:before="100" w:after="40"/>
      </w:pPr>
      <w:r>
        <w:rPr>
          <w:b/>
          <w:color w:val="17324D"/>
          <w:sz w:val="21"/>
        </w:rPr>
        <w:t>L-28  DuckDesign or WingInspect do not become AI Act high-risk merely because they may affect product safety; the Art. 6(1) product route requires specific conditions.</w:t>
      </w:r>
    </w:p>
    <w:tbl>
      <w:tblPr>
        <w:tblW w:type="auto" w:w="0"/>
        <w:jc w:val="center"/>
        <w:tblLayout w:type="fixed"/>
        <w:tblLook w:firstColumn="1" w:firstRow="1" w:lastColumn="0" w:lastRow="0" w:noHBand="0" w:noVBand="1" w:val="04A0"/>
      </w:tblPr>
      <w:tblGrid>
        <w:gridCol w:w="1944"/>
        <w:gridCol w:w="8280"/>
      </w:tblGrid>
      <w:tr>
        <w:tc>
          <w:tcPr>
            <w:tcW w:type="dxa" w:w="4946"/>
            <w:tcMar>
              <w:top w:w="80" w:type="dxa"/>
              <w:start w:w="100" w:type="dxa"/>
              <w:bottom w:w="80" w:type="dxa"/>
              <w:end w:w="100" w:type="dxa"/>
            </w:tcMar>
            <w:vAlign w:val="center"/>
            <w:shd w:fill="2A6F6B"/>
          </w:tcPr>
          <w:p>
            <w:pPr>
              <w:spacing w:after="0"/>
            </w:pPr>
            <w:r/>
            <w:r>
              <w:rPr>
                <w:rFonts w:ascii="Aptos" w:hAnsi="Aptos"/>
                <w:b/>
                <w:color w:val="FFFFFF"/>
                <w:sz w:val="16"/>
              </w:rPr>
              <w:t>Classification</w:t>
            </w:r>
          </w:p>
        </w:tc>
        <w:tc>
          <w:tcPr>
            <w:tcW w:type="dxa" w:w="4946"/>
            <w:tcMar>
              <w:top w:w="80" w:type="dxa"/>
              <w:start w:w="100" w:type="dxa"/>
              <w:bottom w:w="80" w:type="dxa"/>
              <w:end w:w="100" w:type="dxa"/>
            </w:tcMar>
            <w:vAlign w:val="center"/>
            <w:shd w:fill="FFFFFF"/>
          </w:tcPr>
          <w:p>
            <w:pPr>
              <w:spacing w:after="0"/>
            </w:pPr>
            <w:r/>
            <w:r>
              <w:rPr>
                <w:rFonts w:ascii="Aptos" w:hAnsi="Aptos"/>
                <w:b w:val="0"/>
                <w:color w:val="222222"/>
                <w:sz w:val="16"/>
              </w:rPr>
              <w:t>Conditional future high-risk AI requirement</w:t>
            </w:r>
          </w:p>
        </w:tc>
      </w:tr>
      <w:tr>
        <w:tc>
          <w:tcPr>
            <w:tcW w:type="dxa" w:w="4946"/>
            <w:tcMar>
              <w:top w:w="80" w:type="dxa"/>
              <w:start w:w="100" w:type="dxa"/>
              <w:bottom w:w="80" w:type="dxa"/>
              <w:end w:w="100" w:type="dxa"/>
            </w:tcMar>
            <w:vAlign w:val="center"/>
            <w:shd w:fill="2A6F6B"/>
          </w:tcPr>
          <w:p>
            <w:pPr>
              <w:spacing w:after="0"/>
            </w:pPr>
            <w:r/>
            <w:r>
              <w:rPr>
                <w:rFonts w:ascii="Aptos" w:hAnsi="Aptos"/>
                <w:b/>
                <w:color w:val="FFFFFF"/>
                <w:sz w:val="16"/>
              </w:rPr>
              <w:t>Source / provision</w:t>
            </w:r>
          </w:p>
        </w:tc>
        <w:tc>
          <w:tcPr>
            <w:tcW w:type="dxa" w:w="4946"/>
            <w:tcMar>
              <w:top w:w="80" w:type="dxa"/>
              <w:start w:w="100" w:type="dxa"/>
              <w:bottom w:w="80" w:type="dxa"/>
              <w:end w:w="100" w:type="dxa"/>
            </w:tcMar>
            <w:vAlign w:val="center"/>
            <w:shd w:fill="F7F9FA"/>
          </w:tcPr>
          <w:p>
            <w:pPr>
              <w:spacing w:after="0"/>
            </w:pPr>
            <w:r/>
            <w:r>
              <w:rPr>
                <w:rFonts w:ascii="Aptos" w:hAnsi="Aptos"/>
                <w:b w:val="0"/>
                <w:color w:val="222222"/>
                <w:sz w:val="16"/>
              </w:rPr>
              <w:t>AI Act Art. 6(1); Annex I | S01, S07</w:t>
            </w:r>
          </w:p>
        </w:tc>
      </w:tr>
      <w:tr>
        <w:tc>
          <w:tcPr>
            <w:tcW w:type="dxa" w:w="4946"/>
            <w:tcMar>
              <w:top w:w="80" w:type="dxa"/>
              <w:start w:w="100" w:type="dxa"/>
              <w:bottom w:w="80" w:type="dxa"/>
              <w:end w:w="100" w:type="dxa"/>
            </w:tcMar>
            <w:vAlign w:val="center"/>
            <w:shd w:fill="2A6F6B"/>
          </w:tcPr>
          <w:p>
            <w:pPr>
              <w:spacing w:after="0"/>
            </w:pPr>
            <w:r/>
            <w:r>
              <w:rPr>
                <w:rFonts w:ascii="Aptos" w:hAnsi="Aptos"/>
                <w:b/>
                <w:color w:val="FFFFFF"/>
                <w:sz w:val="16"/>
              </w:rPr>
              <w:t>Applicability</w:t>
            </w:r>
          </w:p>
        </w:tc>
        <w:tc>
          <w:tcPr>
            <w:tcW w:type="dxa" w:w="4946"/>
            <w:tcMar>
              <w:top w:w="80" w:type="dxa"/>
              <w:start w:w="100" w:type="dxa"/>
              <w:bottom w:w="80" w:type="dxa"/>
              <w:end w:w="100" w:type="dxa"/>
            </w:tcMar>
            <w:vAlign w:val="center"/>
            <w:shd w:fill="FFFFFF"/>
          </w:tcPr>
          <w:p>
            <w:pPr>
              <w:spacing w:after="0"/>
            </w:pPr>
            <w:r/>
            <w:r>
              <w:rPr>
                <w:rFonts w:ascii="Aptos" w:hAnsi="Aptos"/>
                <w:b w:val="0"/>
                <w:color w:val="222222"/>
                <w:sz w:val="16"/>
              </w:rPr>
              <w:t>The AI must itself be a covered product or safety component and the product must require third-party conformity assessment under Annex I legislation. Exact architecture and safety function are not yet validated.</w:t>
            </w:r>
          </w:p>
        </w:tc>
      </w:tr>
      <w:tr>
        <w:tc>
          <w:tcPr>
            <w:tcW w:type="dxa" w:w="4946"/>
            <w:tcMar>
              <w:top w:w="80" w:type="dxa"/>
              <w:start w:w="100" w:type="dxa"/>
              <w:bottom w:w="80" w:type="dxa"/>
              <w:end w:w="100" w:type="dxa"/>
            </w:tcMar>
            <w:vAlign w:val="center"/>
            <w:shd w:fill="2A6F6B"/>
          </w:tcPr>
          <w:p>
            <w:pPr>
              <w:spacing w:after="0"/>
            </w:pPr>
            <w:r/>
            <w:r>
              <w:rPr>
                <w:rFonts w:ascii="Aptos" w:hAnsi="Aptos"/>
                <w:b/>
                <w:color w:val="FFFFFF"/>
                <w:sz w:val="16"/>
              </w:rPr>
              <w:t>Timing / status</w:t>
            </w:r>
          </w:p>
        </w:tc>
        <w:tc>
          <w:tcPr>
            <w:tcW w:type="dxa" w:w="4946"/>
            <w:tcMar>
              <w:top w:w="80" w:type="dxa"/>
              <w:start w:w="100" w:type="dxa"/>
              <w:bottom w:w="80" w:type="dxa"/>
              <w:end w:w="100" w:type="dxa"/>
            </w:tcMar>
            <w:vAlign w:val="center"/>
            <w:shd w:fill="F7F9FA"/>
          </w:tcPr>
          <w:p>
            <w:pPr>
              <w:spacing w:after="0"/>
            </w:pPr>
            <w:r/>
            <w:r>
              <w:rPr>
                <w:rFonts w:ascii="Aptos" w:hAnsi="Aptos"/>
                <w:b w:val="0"/>
                <w:color w:val="222222"/>
                <w:sz w:val="16"/>
              </w:rPr>
              <w:t>High-risk product-route duties from 2 Aug 2028</w:t>
            </w:r>
          </w:p>
        </w:tc>
      </w:tr>
      <w:tr>
        <w:tc>
          <w:tcPr>
            <w:tcW w:type="dxa" w:w="4946"/>
            <w:tcMar>
              <w:top w:w="80" w:type="dxa"/>
              <w:start w:w="100" w:type="dxa"/>
              <w:bottom w:w="80" w:type="dxa"/>
              <w:end w:w="100" w:type="dxa"/>
            </w:tcMar>
            <w:vAlign w:val="center"/>
            <w:shd w:fill="2A6F6B"/>
          </w:tcPr>
          <w:p>
            <w:pPr>
              <w:spacing w:after="0"/>
            </w:pPr>
            <w:r/>
            <w:r>
              <w:rPr>
                <w:rFonts w:ascii="Aptos" w:hAnsi="Aptos"/>
                <w:b/>
                <w:color w:val="FFFFFF"/>
                <w:sz w:val="16"/>
              </w:rPr>
              <w:t>Uncertainty / action</w:t>
            </w:r>
          </w:p>
        </w:tc>
        <w:tc>
          <w:tcPr>
            <w:tcW w:type="dxa" w:w="4946"/>
            <w:tcMar>
              <w:top w:w="80" w:type="dxa"/>
              <w:start w:w="100" w:type="dxa"/>
              <w:bottom w:w="80" w:type="dxa"/>
              <w:end w:w="100" w:type="dxa"/>
            </w:tcMar>
            <w:vAlign w:val="center"/>
            <w:shd w:fill="FFFFFF"/>
          </w:tcPr>
          <w:p>
            <w:pPr>
              <w:spacing w:after="0"/>
            </w:pPr>
            <w:r/>
            <w:r>
              <w:rPr>
                <w:rFonts w:ascii="Aptos" w:hAnsi="Aptos"/>
                <w:b w:val="0"/>
                <w:color w:val="222222"/>
                <w:sz w:val="16"/>
              </w:rPr>
              <w:t>Uncertainty: High.  Duckworks action: Confirm whether any AI performs a safety function, directly controls movement, or is embedded as a safety component.</w:t>
            </w:r>
          </w:p>
        </w:tc>
      </w:tr>
    </w:tbl>
    <w:p>
      <w:pPr>
        <w:spacing w:after="20"/>
      </w:pPr>
    </w:p>
    <w:p>
      <w:pPr>
        <w:keepNext/>
        <w:spacing w:before="100" w:after="40"/>
      </w:pPr>
      <w:r>
        <w:rPr>
          <w:b/>
          <w:color w:val="17324D"/>
          <w:sz w:val="21"/>
        </w:rPr>
        <w:t>L-29  The Cyber Resilience Act may apply to connected Duckworks products with digital elements.</w:t>
      </w:r>
    </w:p>
    <w:tbl>
      <w:tblPr>
        <w:tblW w:type="auto" w:w="0"/>
        <w:jc w:val="center"/>
        <w:tblLayout w:type="fixed"/>
        <w:tblLook w:firstColumn="1" w:firstRow="1" w:lastColumn="0" w:lastRow="0" w:noHBand="0" w:noVBand="1" w:val="04A0"/>
      </w:tblPr>
      <w:tblGrid>
        <w:gridCol w:w="1944"/>
        <w:gridCol w:w="8280"/>
      </w:tblGrid>
      <w:tr>
        <w:tc>
          <w:tcPr>
            <w:tcW w:type="dxa" w:w="4946"/>
            <w:tcMar>
              <w:top w:w="80" w:type="dxa"/>
              <w:start w:w="100" w:type="dxa"/>
              <w:bottom w:w="80" w:type="dxa"/>
              <w:end w:w="100" w:type="dxa"/>
            </w:tcMar>
            <w:vAlign w:val="center"/>
            <w:shd w:fill="2A6F6B"/>
          </w:tcPr>
          <w:p>
            <w:pPr>
              <w:spacing w:after="0"/>
            </w:pPr>
            <w:r/>
            <w:r>
              <w:rPr>
                <w:rFonts w:ascii="Aptos" w:hAnsi="Aptos"/>
                <w:b/>
                <w:color w:val="FFFFFF"/>
                <w:sz w:val="16"/>
              </w:rPr>
              <w:t>Classification</w:t>
            </w:r>
          </w:p>
        </w:tc>
        <w:tc>
          <w:tcPr>
            <w:tcW w:type="dxa" w:w="4946"/>
            <w:tcMar>
              <w:top w:w="80" w:type="dxa"/>
              <w:start w:w="100" w:type="dxa"/>
              <w:bottom w:w="80" w:type="dxa"/>
              <w:end w:w="100" w:type="dxa"/>
            </w:tcMar>
            <w:vAlign w:val="center"/>
            <w:shd w:fill="FFFFFF"/>
          </w:tcPr>
          <w:p>
            <w:pPr>
              <w:spacing w:after="0"/>
            </w:pPr>
            <w:r/>
            <w:r>
              <w:rPr>
                <w:rFonts w:ascii="Aptos" w:hAnsi="Aptos"/>
                <w:b w:val="0"/>
                <w:color w:val="222222"/>
                <w:sz w:val="16"/>
              </w:rPr>
              <w:t>Scope-dependent mandatory requirement</w:t>
            </w:r>
          </w:p>
        </w:tc>
      </w:tr>
      <w:tr>
        <w:tc>
          <w:tcPr>
            <w:tcW w:type="dxa" w:w="4946"/>
            <w:tcMar>
              <w:top w:w="80" w:type="dxa"/>
              <w:start w:w="100" w:type="dxa"/>
              <w:bottom w:w="80" w:type="dxa"/>
              <w:end w:w="100" w:type="dxa"/>
            </w:tcMar>
            <w:vAlign w:val="center"/>
            <w:shd w:fill="2A6F6B"/>
          </w:tcPr>
          <w:p>
            <w:pPr>
              <w:spacing w:after="0"/>
            </w:pPr>
            <w:r/>
            <w:r>
              <w:rPr>
                <w:rFonts w:ascii="Aptos" w:hAnsi="Aptos"/>
                <w:b/>
                <w:color w:val="FFFFFF"/>
                <w:sz w:val="16"/>
              </w:rPr>
              <w:t>Source / provision</w:t>
            </w:r>
          </w:p>
        </w:tc>
        <w:tc>
          <w:tcPr>
            <w:tcW w:type="dxa" w:w="4946"/>
            <w:tcMar>
              <w:top w:w="80" w:type="dxa"/>
              <w:start w:w="100" w:type="dxa"/>
              <w:bottom w:w="80" w:type="dxa"/>
              <w:end w:w="100" w:type="dxa"/>
            </w:tcMar>
            <w:vAlign w:val="center"/>
            <w:shd w:fill="F7F9FA"/>
          </w:tcPr>
          <w:p>
            <w:pPr>
              <w:spacing w:after="0"/>
            </w:pPr>
            <w:r/>
            <w:r>
              <w:rPr>
                <w:rFonts w:ascii="Aptos" w:hAnsi="Aptos"/>
                <w:b w:val="0"/>
                <w:color w:val="222222"/>
                <w:sz w:val="16"/>
              </w:rPr>
              <w:t>CRA scope and Art. 13 manufacturer obligations | S19, S20</w:t>
            </w:r>
          </w:p>
        </w:tc>
      </w:tr>
      <w:tr>
        <w:tc>
          <w:tcPr>
            <w:tcW w:type="dxa" w:w="4946"/>
            <w:tcMar>
              <w:top w:w="80" w:type="dxa"/>
              <w:start w:w="100" w:type="dxa"/>
              <w:bottom w:w="80" w:type="dxa"/>
              <w:end w:w="100" w:type="dxa"/>
            </w:tcMar>
            <w:vAlign w:val="center"/>
            <w:shd w:fill="2A6F6B"/>
          </w:tcPr>
          <w:p>
            <w:pPr>
              <w:spacing w:after="0"/>
            </w:pPr>
            <w:r/>
            <w:r>
              <w:rPr>
                <w:rFonts w:ascii="Aptos" w:hAnsi="Aptos"/>
                <w:b/>
                <w:color w:val="FFFFFF"/>
                <w:sz w:val="16"/>
              </w:rPr>
              <w:t>Applicability</w:t>
            </w:r>
          </w:p>
        </w:tc>
        <w:tc>
          <w:tcPr>
            <w:tcW w:type="dxa" w:w="4946"/>
            <w:tcMar>
              <w:top w:w="80" w:type="dxa"/>
              <w:start w:w="100" w:type="dxa"/>
              <w:bottom w:w="80" w:type="dxa"/>
              <w:end w:w="100" w:type="dxa"/>
            </w:tcMar>
            <w:vAlign w:val="center"/>
            <w:shd w:fill="FFFFFF"/>
          </w:tcPr>
          <w:p>
            <w:pPr>
              <w:spacing w:after="0"/>
            </w:pPr>
            <w:r/>
            <w:r>
              <w:rPr>
                <w:rFonts w:ascii="Aptos" w:hAnsi="Aptos"/>
                <w:b w:val="0"/>
                <w:color w:val="222222"/>
                <w:sz w:val="16"/>
              </w:rPr>
              <w:t>Potentially relevant to connected robotic arms, embedded software or commercial digital components. Internal business applications are not automatically CRA products.</w:t>
            </w:r>
          </w:p>
        </w:tc>
      </w:tr>
      <w:tr>
        <w:tc>
          <w:tcPr>
            <w:tcW w:type="dxa" w:w="4946"/>
            <w:tcMar>
              <w:top w:w="80" w:type="dxa"/>
              <w:start w:w="100" w:type="dxa"/>
              <w:bottom w:w="80" w:type="dxa"/>
              <w:end w:w="100" w:type="dxa"/>
            </w:tcMar>
            <w:vAlign w:val="center"/>
            <w:shd w:fill="2A6F6B"/>
          </w:tcPr>
          <w:p>
            <w:pPr>
              <w:spacing w:after="0"/>
            </w:pPr>
            <w:r/>
            <w:r>
              <w:rPr>
                <w:rFonts w:ascii="Aptos" w:hAnsi="Aptos"/>
                <w:b/>
                <w:color w:val="FFFFFF"/>
                <w:sz w:val="16"/>
              </w:rPr>
              <w:t>Timing / status</w:t>
            </w:r>
          </w:p>
        </w:tc>
        <w:tc>
          <w:tcPr>
            <w:tcW w:type="dxa" w:w="4946"/>
            <w:tcMar>
              <w:top w:w="80" w:type="dxa"/>
              <w:start w:w="100" w:type="dxa"/>
              <w:bottom w:w="80" w:type="dxa"/>
              <w:end w:w="100" w:type="dxa"/>
            </w:tcMar>
            <w:vAlign w:val="center"/>
            <w:shd w:fill="F7F9FA"/>
          </w:tcPr>
          <w:p>
            <w:pPr>
              <w:spacing w:after="0"/>
            </w:pPr>
            <w:r/>
            <w:r>
              <w:rPr>
                <w:rFonts w:ascii="Aptos" w:hAnsi="Aptos"/>
                <w:b w:val="0"/>
                <w:color w:val="222222"/>
                <w:sz w:val="16"/>
              </w:rPr>
              <w:t>Main obligations from 11 Dec 2027</w:t>
            </w:r>
          </w:p>
        </w:tc>
      </w:tr>
      <w:tr>
        <w:tc>
          <w:tcPr>
            <w:tcW w:type="dxa" w:w="4946"/>
            <w:tcMar>
              <w:top w:w="80" w:type="dxa"/>
              <w:start w:w="100" w:type="dxa"/>
              <w:bottom w:w="80" w:type="dxa"/>
              <w:end w:w="100" w:type="dxa"/>
            </w:tcMar>
            <w:vAlign w:val="center"/>
            <w:shd w:fill="2A6F6B"/>
          </w:tcPr>
          <w:p>
            <w:pPr>
              <w:spacing w:after="0"/>
            </w:pPr>
            <w:r/>
            <w:r>
              <w:rPr>
                <w:rFonts w:ascii="Aptos" w:hAnsi="Aptos"/>
                <w:b/>
                <w:color w:val="FFFFFF"/>
                <w:sz w:val="16"/>
              </w:rPr>
              <w:t>Uncertainty / action</w:t>
            </w:r>
          </w:p>
        </w:tc>
        <w:tc>
          <w:tcPr>
            <w:tcW w:type="dxa" w:w="4946"/>
            <w:tcMar>
              <w:top w:w="80" w:type="dxa"/>
              <w:start w:w="100" w:type="dxa"/>
              <w:bottom w:w="80" w:type="dxa"/>
              <w:end w:w="100" w:type="dxa"/>
            </w:tcMar>
            <w:vAlign w:val="center"/>
            <w:shd w:fill="FFFFFF"/>
          </w:tcPr>
          <w:p>
            <w:pPr>
              <w:spacing w:after="0"/>
            </w:pPr>
            <w:r/>
            <w:r>
              <w:rPr>
                <w:rFonts w:ascii="Aptos" w:hAnsi="Aptos"/>
                <w:b w:val="0"/>
                <w:color w:val="222222"/>
                <w:sz w:val="16"/>
              </w:rPr>
              <w:t>Uncertainty: High.  Duckworks action: Perform product-by-product CRA scoping, including software, connectivity, remote processing and commercial availability.</w:t>
            </w:r>
          </w:p>
        </w:tc>
      </w:tr>
    </w:tbl>
    <w:p>
      <w:pPr>
        <w:spacing w:after="20"/>
      </w:pPr>
    </w:p>
    <w:p>
      <w:pPr>
        <w:keepNext/>
        <w:spacing w:before="100" w:after="40"/>
      </w:pPr>
      <w:r>
        <w:rPr>
          <w:b/>
          <w:color w:val="17324D"/>
          <w:sz w:val="21"/>
        </w:rPr>
        <w:t>L-30  CRA vulnerability/incident reporting obligations begin before the main CRA regime.</w:t>
      </w:r>
    </w:p>
    <w:tbl>
      <w:tblPr>
        <w:tblW w:type="auto" w:w="0"/>
        <w:jc w:val="center"/>
        <w:tblLayout w:type="fixed"/>
        <w:tblLook w:firstColumn="1" w:firstRow="1" w:lastColumn="0" w:lastRow="0" w:noHBand="0" w:noVBand="1" w:val="04A0"/>
      </w:tblPr>
      <w:tblGrid>
        <w:gridCol w:w="1944"/>
        <w:gridCol w:w="8280"/>
      </w:tblGrid>
      <w:tr>
        <w:tc>
          <w:tcPr>
            <w:tcW w:type="dxa" w:w="4946"/>
            <w:tcMar>
              <w:top w:w="80" w:type="dxa"/>
              <w:start w:w="100" w:type="dxa"/>
              <w:bottom w:w="80" w:type="dxa"/>
              <w:end w:w="100" w:type="dxa"/>
            </w:tcMar>
            <w:vAlign w:val="center"/>
            <w:shd w:fill="2A6F6B"/>
          </w:tcPr>
          <w:p>
            <w:pPr>
              <w:spacing w:after="0"/>
            </w:pPr>
            <w:r/>
            <w:r>
              <w:rPr>
                <w:rFonts w:ascii="Aptos" w:hAnsi="Aptos"/>
                <w:b/>
                <w:color w:val="FFFFFF"/>
                <w:sz w:val="16"/>
              </w:rPr>
              <w:t>Classification</w:t>
            </w:r>
          </w:p>
        </w:tc>
        <w:tc>
          <w:tcPr>
            <w:tcW w:type="dxa" w:w="4946"/>
            <w:tcMar>
              <w:top w:w="80" w:type="dxa"/>
              <w:start w:w="100" w:type="dxa"/>
              <w:bottom w:w="80" w:type="dxa"/>
              <w:end w:w="100" w:type="dxa"/>
            </w:tcMar>
            <w:vAlign w:val="center"/>
            <w:shd w:fill="FFFFFF"/>
          </w:tcPr>
          <w:p>
            <w:pPr>
              <w:spacing w:after="0"/>
            </w:pPr>
            <w:r/>
            <w:r>
              <w:rPr>
                <w:rFonts w:ascii="Aptos" w:hAnsi="Aptos"/>
                <w:b w:val="0"/>
                <w:color w:val="222222"/>
                <w:sz w:val="16"/>
              </w:rPr>
              <w:t>Near-term mandatory requirement</w:t>
            </w:r>
          </w:p>
        </w:tc>
      </w:tr>
      <w:tr>
        <w:tc>
          <w:tcPr>
            <w:tcW w:type="dxa" w:w="4946"/>
            <w:tcMar>
              <w:top w:w="80" w:type="dxa"/>
              <w:start w:w="100" w:type="dxa"/>
              <w:bottom w:w="80" w:type="dxa"/>
              <w:end w:w="100" w:type="dxa"/>
            </w:tcMar>
            <w:vAlign w:val="center"/>
            <w:shd w:fill="2A6F6B"/>
          </w:tcPr>
          <w:p>
            <w:pPr>
              <w:spacing w:after="0"/>
            </w:pPr>
            <w:r/>
            <w:r>
              <w:rPr>
                <w:rFonts w:ascii="Aptos" w:hAnsi="Aptos"/>
                <w:b/>
                <w:color w:val="FFFFFF"/>
                <w:sz w:val="16"/>
              </w:rPr>
              <w:t>Source / provision</w:t>
            </w:r>
          </w:p>
        </w:tc>
        <w:tc>
          <w:tcPr>
            <w:tcW w:type="dxa" w:w="4946"/>
            <w:tcMar>
              <w:top w:w="80" w:type="dxa"/>
              <w:start w:w="100" w:type="dxa"/>
              <w:bottom w:w="80" w:type="dxa"/>
              <w:end w:w="100" w:type="dxa"/>
            </w:tcMar>
            <w:vAlign w:val="center"/>
            <w:shd w:fill="F7F9FA"/>
          </w:tcPr>
          <w:p>
            <w:pPr>
              <w:spacing w:after="0"/>
            </w:pPr>
            <w:r/>
            <w:r>
              <w:rPr>
                <w:rFonts w:ascii="Aptos" w:hAnsi="Aptos"/>
                <w:b w:val="0"/>
                <w:color w:val="222222"/>
                <w:sz w:val="16"/>
              </w:rPr>
              <w:t>CRA Art. 14 | S19, S20</w:t>
            </w:r>
          </w:p>
        </w:tc>
      </w:tr>
      <w:tr>
        <w:tc>
          <w:tcPr>
            <w:tcW w:type="dxa" w:w="4946"/>
            <w:tcMar>
              <w:top w:w="80" w:type="dxa"/>
              <w:start w:w="100" w:type="dxa"/>
              <w:bottom w:w="80" w:type="dxa"/>
              <w:end w:w="100" w:type="dxa"/>
            </w:tcMar>
            <w:vAlign w:val="center"/>
            <w:shd w:fill="2A6F6B"/>
          </w:tcPr>
          <w:p>
            <w:pPr>
              <w:spacing w:after="0"/>
            </w:pPr>
            <w:r/>
            <w:r>
              <w:rPr>
                <w:rFonts w:ascii="Aptos" w:hAnsi="Aptos"/>
                <w:b/>
                <w:color w:val="FFFFFF"/>
                <w:sz w:val="16"/>
              </w:rPr>
              <w:t>Applicability</w:t>
            </w:r>
          </w:p>
        </w:tc>
        <w:tc>
          <w:tcPr>
            <w:tcW w:type="dxa" w:w="4946"/>
            <w:tcMar>
              <w:top w:w="80" w:type="dxa"/>
              <w:start w:w="100" w:type="dxa"/>
              <w:bottom w:w="80" w:type="dxa"/>
              <w:end w:w="100" w:type="dxa"/>
            </w:tcMar>
            <w:vAlign w:val="center"/>
            <w:shd w:fill="FFFFFF"/>
          </w:tcPr>
          <w:p>
            <w:pPr>
              <w:spacing w:after="0"/>
            </w:pPr>
            <w:r/>
            <w:r>
              <w:rPr>
                <w:rFonts w:ascii="Aptos" w:hAnsi="Aptos"/>
                <w:b w:val="0"/>
                <w:color w:val="222222"/>
                <w:sz w:val="16"/>
              </w:rPr>
              <w:t>Applies to in-scope products with digital elements, including relevant products made available before full application according to CRA transition rules.</w:t>
            </w:r>
          </w:p>
        </w:tc>
      </w:tr>
      <w:tr>
        <w:tc>
          <w:tcPr>
            <w:tcW w:type="dxa" w:w="4946"/>
            <w:tcMar>
              <w:top w:w="80" w:type="dxa"/>
              <w:start w:w="100" w:type="dxa"/>
              <w:bottom w:w="80" w:type="dxa"/>
              <w:end w:w="100" w:type="dxa"/>
            </w:tcMar>
            <w:vAlign w:val="center"/>
            <w:shd w:fill="2A6F6B"/>
          </w:tcPr>
          <w:p>
            <w:pPr>
              <w:spacing w:after="0"/>
            </w:pPr>
            <w:r/>
            <w:r>
              <w:rPr>
                <w:rFonts w:ascii="Aptos" w:hAnsi="Aptos"/>
                <w:b/>
                <w:color w:val="FFFFFF"/>
                <w:sz w:val="16"/>
              </w:rPr>
              <w:t>Timing / status</w:t>
            </w:r>
          </w:p>
        </w:tc>
        <w:tc>
          <w:tcPr>
            <w:tcW w:type="dxa" w:w="4946"/>
            <w:tcMar>
              <w:top w:w="80" w:type="dxa"/>
              <w:start w:w="100" w:type="dxa"/>
              <w:bottom w:w="80" w:type="dxa"/>
              <w:end w:w="100" w:type="dxa"/>
            </w:tcMar>
            <w:vAlign w:val="center"/>
            <w:shd w:fill="F7F9FA"/>
          </w:tcPr>
          <w:p>
            <w:pPr>
              <w:spacing w:after="0"/>
            </w:pPr>
            <w:r/>
            <w:r>
              <w:rPr>
                <w:rFonts w:ascii="Aptos" w:hAnsi="Aptos"/>
                <w:b w:val="0"/>
                <w:color w:val="222222"/>
                <w:sz w:val="16"/>
              </w:rPr>
              <w:t>From 11 Sep 2026</w:t>
            </w:r>
          </w:p>
        </w:tc>
      </w:tr>
      <w:tr>
        <w:tc>
          <w:tcPr>
            <w:tcW w:type="dxa" w:w="4946"/>
            <w:tcMar>
              <w:top w:w="80" w:type="dxa"/>
              <w:start w:w="100" w:type="dxa"/>
              <w:bottom w:w="80" w:type="dxa"/>
              <w:end w:w="100" w:type="dxa"/>
            </w:tcMar>
            <w:vAlign w:val="center"/>
            <w:shd w:fill="2A6F6B"/>
          </w:tcPr>
          <w:p>
            <w:pPr>
              <w:spacing w:after="0"/>
            </w:pPr>
            <w:r/>
            <w:r>
              <w:rPr>
                <w:rFonts w:ascii="Aptos" w:hAnsi="Aptos"/>
                <w:b/>
                <w:color w:val="FFFFFF"/>
                <w:sz w:val="16"/>
              </w:rPr>
              <w:t>Uncertainty / action</w:t>
            </w:r>
          </w:p>
        </w:tc>
        <w:tc>
          <w:tcPr>
            <w:tcW w:type="dxa" w:w="4946"/>
            <w:tcMar>
              <w:top w:w="80" w:type="dxa"/>
              <w:start w:w="100" w:type="dxa"/>
              <w:bottom w:w="80" w:type="dxa"/>
              <w:end w:w="100" w:type="dxa"/>
            </w:tcMar>
            <w:vAlign w:val="center"/>
            <w:shd w:fill="FFFFFF"/>
          </w:tcPr>
          <w:p>
            <w:pPr>
              <w:spacing w:after="0"/>
            </w:pPr>
            <w:r/>
            <w:r>
              <w:rPr>
                <w:rFonts w:ascii="Aptos" w:hAnsi="Aptos"/>
                <w:b w:val="0"/>
                <w:color w:val="222222"/>
                <w:sz w:val="16"/>
              </w:rPr>
              <w:t>Uncertainty: High.  Duckworks action: Complete CRA scope triage immediately; establish reporting ownership, thresholds, contacts and evidence before 11 Sep 2026.</w:t>
            </w:r>
          </w:p>
        </w:tc>
      </w:tr>
    </w:tbl>
    <w:p>
      <w:pPr>
        <w:spacing w:after="20"/>
      </w:pPr>
    </w:p>
    <w:p>
      <w:pPr>
        <w:keepNext/>
        <w:spacing w:before="100" w:after="40"/>
      </w:pPr>
      <w:r>
        <w:rPr>
          <w:b/>
          <w:color w:val="17324D"/>
          <w:sz w:val="21"/>
        </w:rPr>
        <w:t>L-31  For in-scope products, the CRA main manufacturer lifecycle cybersecurity obligations apply from 11 December 2027.</w:t>
      </w:r>
    </w:p>
    <w:tbl>
      <w:tblPr>
        <w:tblW w:type="auto" w:w="0"/>
        <w:jc w:val="center"/>
        <w:tblLayout w:type="fixed"/>
        <w:tblLook w:firstColumn="1" w:firstRow="1" w:lastColumn="0" w:lastRow="0" w:noHBand="0" w:noVBand="1" w:val="04A0"/>
      </w:tblPr>
      <w:tblGrid>
        <w:gridCol w:w="1944"/>
        <w:gridCol w:w="8280"/>
      </w:tblGrid>
      <w:tr>
        <w:tc>
          <w:tcPr>
            <w:tcW w:type="dxa" w:w="4946"/>
            <w:tcMar>
              <w:top w:w="80" w:type="dxa"/>
              <w:start w:w="100" w:type="dxa"/>
              <w:bottom w:w="80" w:type="dxa"/>
              <w:end w:w="100" w:type="dxa"/>
            </w:tcMar>
            <w:vAlign w:val="center"/>
            <w:shd w:fill="2A6F6B"/>
          </w:tcPr>
          <w:p>
            <w:pPr>
              <w:spacing w:after="0"/>
            </w:pPr>
            <w:r/>
            <w:r>
              <w:rPr>
                <w:rFonts w:ascii="Aptos" w:hAnsi="Aptos"/>
                <w:b/>
                <w:color w:val="FFFFFF"/>
                <w:sz w:val="16"/>
              </w:rPr>
              <w:t>Classification</w:t>
            </w:r>
          </w:p>
        </w:tc>
        <w:tc>
          <w:tcPr>
            <w:tcW w:type="dxa" w:w="4946"/>
            <w:tcMar>
              <w:top w:w="80" w:type="dxa"/>
              <w:start w:w="100" w:type="dxa"/>
              <w:bottom w:w="80" w:type="dxa"/>
              <w:end w:w="100" w:type="dxa"/>
            </w:tcMar>
            <w:vAlign w:val="center"/>
            <w:shd w:fill="FFFFFF"/>
          </w:tcPr>
          <w:p>
            <w:pPr>
              <w:spacing w:after="0"/>
            </w:pPr>
            <w:r/>
            <w:r>
              <w:rPr>
                <w:rFonts w:ascii="Aptos" w:hAnsi="Aptos"/>
                <w:b w:val="0"/>
                <w:color w:val="222222"/>
                <w:sz w:val="16"/>
              </w:rPr>
              <w:t>Future mandatory requirement</w:t>
            </w:r>
          </w:p>
        </w:tc>
      </w:tr>
      <w:tr>
        <w:tc>
          <w:tcPr>
            <w:tcW w:type="dxa" w:w="4946"/>
            <w:tcMar>
              <w:top w:w="80" w:type="dxa"/>
              <w:start w:w="100" w:type="dxa"/>
              <w:bottom w:w="80" w:type="dxa"/>
              <w:end w:w="100" w:type="dxa"/>
            </w:tcMar>
            <w:vAlign w:val="center"/>
            <w:shd w:fill="2A6F6B"/>
          </w:tcPr>
          <w:p>
            <w:pPr>
              <w:spacing w:after="0"/>
            </w:pPr>
            <w:r/>
            <w:r>
              <w:rPr>
                <w:rFonts w:ascii="Aptos" w:hAnsi="Aptos"/>
                <w:b/>
                <w:color w:val="FFFFFF"/>
                <w:sz w:val="16"/>
              </w:rPr>
              <w:t>Source / provision</w:t>
            </w:r>
          </w:p>
        </w:tc>
        <w:tc>
          <w:tcPr>
            <w:tcW w:type="dxa" w:w="4946"/>
            <w:tcMar>
              <w:top w:w="80" w:type="dxa"/>
              <w:start w:w="100" w:type="dxa"/>
              <w:bottom w:w="80" w:type="dxa"/>
              <w:end w:w="100" w:type="dxa"/>
            </w:tcMar>
            <w:vAlign w:val="center"/>
            <w:shd w:fill="F7F9FA"/>
          </w:tcPr>
          <w:p>
            <w:pPr>
              <w:spacing w:after="0"/>
            </w:pPr>
            <w:r/>
            <w:r>
              <w:rPr>
                <w:rFonts w:ascii="Aptos" w:hAnsi="Aptos"/>
                <w:b w:val="0"/>
                <w:color w:val="222222"/>
                <w:sz w:val="16"/>
              </w:rPr>
              <w:t>CRA Art. 13 and Annex I; related conformity/technical documentation provisions | S19, S20</w:t>
            </w:r>
          </w:p>
        </w:tc>
      </w:tr>
      <w:tr>
        <w:tc>
          <w:tcPr>
            <w:tcW w:type="dxa" w:w="4946"/>
            <w:tcMar>
              <w:top w:w="80" w:type="dxa"/>
              <w:start w:w="100" w:type="dxa"/>
              <w:bottom w:w="80" w:type="dxa"/>
              <w:end w:w="100" w:type="dxa"/>
            </w:tcMar>
            <w:vAlign w:val="center"/>
            <w:shd w:fill="2A6F6B"/>
          </w:tcPr>
          <w:p>
            <w:pPr>
              <w:spacing w:after="0"/>
            </w:pPr>
            <w:r/>
            <w:r>
              <w:rPr>
                <w:rFonts w:ascii="Aptos" w:hAnsi="Aptos"/>
                <w:b/>
                <w:color w:val="FFFFFF"/>
                <w:sz w:val="16"/>
              </w:rPr>
              <w:t>Applicability</w:t>
            </w:r>
          </w:p>
        </w:tc>
        <w:tc>
          <w:tcPr>
            <w:tcW w:type="dxa" w:w="4946"/>
            <w:tcMar>
              <w:top w:w="80" w:type="dxa"/>
              <w:start w:w="100" w:type="dxa"/>
              <w:bottom w:w="80" w:type="dxa"/>
              <w:end w:w="100" w:type="dxa"/>
            </w:tcMar>
            <w:vAlign w:val="center"/>
            <w:shd w:fill="FFFFFF"/>
          </w:tcPr>
          <w:p>
            <w:pPr>
              <w:spacing w:after="0"/>
            </w:pPr>
            <w:r/>
            <w:r>
              <w:rPr>
                <w:rFonts w:ascii="Aptos" w:hAnsi="Aptos"/>
                <w:b w:val="0"/>
                <w:color w:val="222222"/>
                <w:sz w:val="16"/>
              </w:rPr>
              <w:t>Product-specific.</w:t>
            </w:r>
          </w:p>
        </w:tc>
      </w:tr>
      <w:tr>
        <w:tc>
          <w:tcPr>
            <w:tcW w:type="dxa" w:w="4946"/>
            <w:tcMar>
              <w:top w:w="80" w:type="dxa"/>
              <w:start w:w="100" w:type="dxa"/>
              <w:bottom w:w="80" w:type="dxa"/>
              <w:end w:w="100" w:type="dxa"/>
            </w:tcMar>
            <w:vAlign w:val="center"/>
            <w:shd w:fill="2A6F6B"/>
          </w:tcPr>
          <w:p>
            <w:pPr>
              <w:spacing w:after="0"/>
            </w:pPr>
            <w:r/>
            <w:r>
              <w:rPr>
                <w:rFonts w:ascii="Aptos" w:hAnsi="Aptos"/>
                <w:b/>
                <w:color w:val="FFFFFF"/>
                <w:sz w:val="16"/>
              </w:rPr>
              <w:t>Timing / status</w:t>
            </w:r>
          </w:p>
        </w:tc>
        <w:tc>
          <w:tcPr>
            <w:tcW w:type="dxa" w:w="4946"/>
            <w:tcMar>
              <w:top w:w="80" w:type="dxa"/>
              <w:start w:w="100" w:type="dxa"/>
              <w:bottom w:w="80" w:type="dxa"/>
              <w:end w:w="100" w:type="dxa"/>
            </w:tcMar>
            <w:vAlign w:val="center"/>
            <w:shd w:fill="F7F9FA"/>
          </w:tcPr>
          <w:p>
            <w:pPr>
              <w:spacing w:after="0"/>
            </w:pPr>
            <w:r/>
            <w:r>
              <w:rPr>
                <w:rFonts w:ascii="Aptos" w:hAnsi="Aptos"/>
                <w:b w:val="0"/>
                <w:color w:val="222222"/>
                <w:sz w:val="16"/>
              </w:rPr>
              <w:t>From 11 Dec 2027</w:t>
            </w:r>
          </w:p>
        </w:tc>
      </w:tr>
      <w:tr>
        <w:tc>
          <w:tcPr>
            <w:tcW w:type="dxa" w:w="4946"/>
            <w:tcMar>
              <w:top w:w="80" w:type="dxa"/>
              <w:start w:w="100" w:type="dxa"/>
              <w:bottom w:w="80" w:type="dxa"/>
              <w:end w:w="100" w:type="dxa"/>
            </w:tcMar>
            <w:vAlign w:val="center"/>
            <w:shd w:fill="2A6F6B"/>
          </w:tcPr>
          <w:p>
            <w:pPr>
              <w:spacing w:after="0"/>
            </w:pPr>
            <w:r/>
            <w:r>
              <w:rPr>
                <w:rFonts w:ascii="Aptos" w:hAnsi="Aptos"/>
                <w:b/>
                <w:color w:val="FFFFFF"/>
                <w:sz w:val="16"/>
              </w:rPr>
              <w:t>Uncertainty / action</w:t>
            </w:r>
          </w:p>
        </w:tc>
        <w:tc>
          <w:tcPr>
            <w:tcW w:type="dxa" w:w="4946"/>
            <w:tcMar>
              <w:top w:w="80" w:type="dxa"/>
              <w:start w:w="100" w:type="dxa"/>
              <w:bottom w:w="80" w:type="dxa"/>
              <w:end w:w="100" w:type="dxa"/>
            </w:tcMar>
            <w:vAlign w:val="center"/>
            <w:shd w:fill="FFFFFF"/>
          </w:tcPr>
          <w:p>
            <w:pPr>
              <w:spacing w:after="0"/>
            </w:pPr>
            <w:r/>
            <w:r>
              <w:rPr>
                <w:rFonts w:ascii="Aptos" w:hAnsi="Aptos"/>
                <w:b w:val="0"/>
                <w:color w:val="222222"/>
                <w:sz w:val="16"/>
              </w:rPr>
              <w:t>Uncertainty: Medium.  Duckworks action: Build secure-by-design, vulnerability handling, support-period, technical documentation and conformity evidence into product lifecycle governance.</w:t>
            </w:r>
          </w:p>
        </w:tc>
      </w:tr>
    </w:tbl>
    <w:p>
      <w:pPr>
        <w:spacing w:after="20"/>
      </w:pPr>
    </w:p>
    <w:p>
      <w:pPr>
        <w:keepNext/>
        <w:spacing w:before="100" w:after="40"/>
      </w:pPr>
      <w:r>
        <w:rPr>
          <w:b/>
          <w:color w:val="17324D"/>
          <w:sz w:val="21"/>
        </w:rPr>
        <w:t>L-32  The General Product Safety Regulation applies where Duckworks offers consumer products within its scope.</w:t>
      </w:r>
    </w:p>
    <w:tbl>
      <w:tblPr>
        <w:tblW w:type="auto" w:w="0"/>
        <w:jc w:val="center"/>
        <w:tblLayout w:type="fixed"/>
        <w:tblLook w:firstColumn="1" w:firstRow="1" w:lastColumn="0" w:lastRow="0" w:noHBand="0" w:noVBand="1" w:val="04A0"/>
      </w:tblPr>
      <w:tblGrid>
        <w:gridCol w:w="1944"/>
        <w:gridCol w:w="8280"/>
      </w:tblGrid>
      <w:tr>
        <w:tc>
          <w:tcPr>
            <w:tcW w:type="dxa" w:w="4946"/>
            <w:tcMar>
              <w:top w:w="80" w:type="dxa"/>
              <w:start w:w="100" w:type="dxa"/>
              <w:bottom w:w="80" w:type="dxa"/>
              <w:end w:w="100" w:type="dxa"/>
            </w:tcMar>
            <w:vAlign w:val="center"/>
            <w:shd w:fill="2A6F6B"/>
          </w:tcPr>
          <w:p>
            <w:pPr>
              <w:spacing w:after="0"/>
            </w:pPr>
            <w:r/>
            <w:r>
              <w:rPr>
                <w:rFonts w:ascii="Aptos" w:hAnsi="Aptos"/>
                <w:b/>
                <w:color w:val="FFFFFF"/>
                <w:sz w:val="16"/>
              </w:rPr>
              <w:t>Classification</w:t>
            </w:r>
          </w:p>
        </w:tc>
        <w:tc>
          <w:tcPr>
            <w:tcW w:type="dxa" w:w="4946"/>
            <w:tcMar>
              <w:top w:w="80" w:type="dxa"/>
              <w:start w:w="100" w:type="dxa"/>
              <w:bottom w:w="80" w:type="dxa"/>
              <w:end w:w="100" w:type="dxa"/>
            </w:tcMar>
            <w:vAlign w:val="center"/>
            <w:shd w:fill="FFFFFF"/>
          </w:tcPr>
          <w:p>
            <w:pPr>
              <w:spacing w:after="0"/>
            </w:pPr>
            <w:r/>
            <w:r>
              <w:rPr>
                <w:rFonts w:ascii="Aptos" w:hAnsi="Aptos"/>
                <w:b w:val="0"/>
                <w:color w:val="222222"/>
                <w:sz w:val="16"/>
              </w:rPr>
              <w:t>Scope-dependent mandatory requirement</w:t>
            </w:r>
          </w:p>
        </w:tc>
      </w:tr>
      <w:tr>
        <w:tc>
          <w:tcPr>
            <w:tcW w:type="dxa" w:w="4946"/>
            <w:tcMar>
              <w:top w:w="80" w:type="dxa"/>
              <w:start w:w="100" w:type="dxa"/>
              <w:bottom w:w="80" w:type="dxa"/>
              <w:end w:w="100" w:type="dxa"/>
            </w:tcMar>
            <w:vAlign w:val="center"/>
            <w:shd w:fill="2A6F6B"/>
          </w:tcPr>
          <w:p>
            <w:pPr>
              <w:spacing w:after="0"/>
            </w:pPr>
            <w:r/>
            <w:r>
              <w:rPr>
                <w:rFonts w:ascii="Aptos" w:hAnsi="Aptos"/>
                <w:b/>
                <w:color w:val="FFFFFF"/>
                <w:sz w:val="16"/>
              </w:rPr>
              <w:t>Source / provision</w:t>
            </w:r>
          </w:p>
        </w:tc>
        <w:tc>
          <w:tcPr>
            <w:tcW w:type="dxa" w:w="4946"/>
            <w:tcMar>
              <w:top w:w="80" w:type="dxa"/>
              <w:start w:w="100" w:type="dxa"/>
              <w:bottom w:w="80" w:type="dxa"/>
              <w:end w:w="100" w:type="dxa"/>
            </w:tcMar>
            <w:vAlign w:val="center"/>
            <w:shd w:fill="F7F9FA"/>
          </w:tcPr>
          <w:p>
            <w:pPr>
              <w:spacing w:after="0"/>
            </w:pPr>
            <w:r/>
            <w:r>
              <w:rPr>
                <w:rFonts w:ascii="Aptos" w:hAnsi="Aptos"/>
                <w:b w:val="0"/>
                <w:color w:val="222222"/>
                <w:sz w:val="16"/>
              </w:rPr>
              <w:t>GPSR Arts. 5-6 | S24</w:t>
            </w:r>
          </w:p>
        </w:tc>
      </w:tr>
      <w:tr>
        <w:tc>
          <w:tcPr>
            <w:tcW w:type="dxa" w:w="4946"/>
            <w:tcMar>
              <w:top w:w="80" w:type="dxa"/>
              <w:start w:w="100" w:type="dxa"/>
              <w:bottom w:w="80" w:type="dxa"/>
              <w:end w:w="100" w:type="dxa"/>
            </w:tcMar>
            <w:vAlign w:val="center"/>
            <w:shd w:fill="2A6F6B"/>
          </w:tcPr>
          <w:p>
            <w:pPr>
              <w:spacing w:after="0"/>
            </w:pPr>
            <w:r/>
            <w:r>
              <w:rPr>
                <w:rFonts w:ascii="Aptos" w:hAnsi="Aptos"/>
                <w:b/>
                <w:color w:val="FFFFFF"/>
                <w:sz w:val="16"/>
              </w:rPr>
              <w:t>Applicability</w:t>
            </w:r>
          </w:p>
        </w:tc>
        <w:tc>
          <w:tcPr>
            <w:tcW w:type="dxa" w:w="4946"/>
            <w:tcMar>
              <w:top w:w="80" w:type="dxa"/>
              <w:start w:w="100" w:type="dxa"/>
              <w:bottom w:w="80" w:type="dxa"/>
              <w:end w:w="100" w:type="dxa"/>
            </w:tcMar>
            <w:vAlign w:val="center"/>
            <w:shd w:fill="FFFFFF"/>
          </w:tcPr>
          <w:p>
            <w:pPr>
              <w:spacing w:after="0"/>
            </w:pPr>
            <w:r/>
            <w:r>
              <w:rPr>
                <w:rFonts w:ascii="Aptos" w:hAnsi="Aptos"/>
                <w:b w:val="0"/>
                <w:color w:val="222222"/>
                <w:sz w:val="16"/>
              </w:rPr>
              <w:t>Current facts do not establish whether Duckworks arms are consumer products versus specialist/industrial machinery.</w:t>
            </w:r>
          </w:p>
        </w:tc>
      </w:tr>
      <w:tr>
        <w:tc>
          <w:tcPr>
            <w:tcW w:type="dxa" w:w="4946"/>
            <w:tcMar>
              <w:top w:w="80" w:type="dxa"/>
              <w:start w:w="100" w:type="dxa"/>
              <w:bottom w:w="80" w:type="dxa"/>
              <w:end w:w="100" w:type="dxa"/>
            </w:tcMar>
            <w:vAlign w:val="center"/>
            <w:shd w:fill="2A6F6B"/>
          </w:tcPr>
          <w:p>
            <w:pPr>
              <w:spacing w:after="0"/>
            </w:pPr>
            <w:r/>
            <w:r>
              <w:rPr>
                <w:rFonts w:ascii="Aptos" w:hAnsi="Aptos"/>
                <w:b/>
                <w:color w:val="FFFFFF"/>
                <w:sz w:val="16"/>
              </w:rPr>
              <w:t>Timing / status</w:t>
            </w:r>
          </w:p>
        </w:tc>
        <w:tc>
          <w:tcPr>
            <w:tcW w:type="dxa" w:w="4946"/>
            <w:tcMar>
              <w:top w:w="80" w:type="dxa"/>
              <w:start w:w="100" w:type="dxa"/>
              <w:bottom w:w="80" w:type="dxa"/>
              <w:end w:w="100" w:type="dxa"/>
            </w:tcMar>
            <w:vAlign w:val="center"/>
            <w:shd w:fill="F7F9FA"/>
          </w:tcPr>
          <w:p>
            <w:pPr>
              <w:spacing w:after="0"/>
            </w:pPr>
            <w:r/>
            <w:r>
              <w:rPr>
                <w:rFonts w:ascii="Aptos" w:hAnsi="Aptos"/>
                <w:b w:val="0"/>
                <w:color w:val="222222"/>
                <w:sz w:val="16"/>
              </w:rPr>
              <w:t>Applicable since 13 Dec 2024</w:t>
            </w:r>
          </w:p>
        </w:tc>
      </w:tr>
      <w:tr>
        <w:tc>
          <w:tcPr>
            <w:tcW w:type="dxa" w:w="4946"/>
            <w:tcMar>
              <w:top w:w="80" w:type="dxa"/>
              <w:start w:w="100" w:type="dxa"/>
              <w:bottom w:w="80" w:type="dxa"/>
              <w:end w:w="100" w:type="dxa"/>
            </w:tcMar>
            <w:vAlign w:val="center"/>
            <w:shd w:fill="2A6F6B"/>
          </w:tcPr>
          <w:p>
            <w:pPr>
              <w:spacing w:after="0"/>
            </w:pPr>
            <w:r/>
            <w:r>
              <w:rPr>
                <w:rFonts w:ascii="Aptos" w:hAnsi="Aptos"/>
                <w:b/>
                <w:color w:val="FFFFFF"/>
                <w:sz w:val="16"/>
              </w:rPr>
              <w:t>Uncertainty / action</w:t>
            </w:r>
          </w:p>
        </w:tc>
        <w:tc>
          <w:tcPr>
            <w:tcW w:type="dxa" w:w="4946"/>
            <w:tcMar>
              <w:top w:w="80" w:type="dxa"/>
              <w:start w:w="100" w:type="dxa"/>
              <w:bottom w:w="80" w:type="dxa"/>
              <w:end w:w="100" w:type="dxa"/>
            </w:tcMar>
            <w:vAlign w:val="center"/>
            <w:shd w:fill="FFFFFF"/>
          </w:tcPr>
          <w:p>
            <w:pPr>
              <w:spacing w:after="0"/>
            </w:pPr>
            <w:r/>
            <w:r>
              <w:rPr>
                <w:rFonts w:ascii="Aptos" w:hAnsi="Aptos"/>
                <w:b w:val="0"/>
                <w:color w:val="222222"/>
                <w:sz w:val="16"/>
              </w:rPr>
              <w:t>Uncertainty: High.  Duckworks action: Keep GPSR as conditional; determine intended consumer/industrial market for each product line.</w:t>
            </w:r>
          </w:p>
        </w:tc>
      </w:tr>
    </w:tbl>
    <w:p>
      <w:pPr>
        <w:spacing w:after="20"/>
      </w:pPr>
    </w:p>
    <w:p>
      <w:pPr>
        <w:keepNext/>
        <w:spacing w:before="100" w:after="40"/>
      </w:pPr>
      <w:r>
        <w:rPr>
          <w:b/>
          <w:color w:val="17324D"/>
          <w:sz w:val="21"/>
        </w:rPr>
        <w:t>L-33  The revised Product Liability Directive expressly covers modern software, including AI, and applies to products placed on the market or put into service after 9 December 2026.</w:t>
      </w:r>
    </w:p>
    <w:tbl>
      <w:tblPr>
        <w:tblW w:type="auto" w:w="0"/>
        <w:jc w:val="center"/>
        <w:tblLayout w:type="fixed"/>
        <w:tblLook w:firstColumn="1" w:firstRow="1" w:lastColumn="0" w:lastRow="0" w:noHBand="0" w:noVBand="1" w:val="04A0"/>
      </w:tblPr>
      <w:tblGrid>
        <w:gridCol w:w="1944"/>
        <w:gridCol w:w="8280"/>
      </w:tblGrid>
      <w:tr>
        <w:tc>
          <w:tcPr>
            <w:tcW w:type="dxa" w:w="4946"/>
            <w:tcMar>
              <w:top w:w="80" w:type="dxa"/>
              <w:start w:w="100" w:type="dxa"/>
              <w:bottom w:w="80" w:type="dxa"/>
              <w:end w:w="100" w:type="dxa"/>
            </w:tcMar>
            <w:vAlign w:val="center"/>
            <w:shd w:fill="2A6F6B"/>
          </w:tcPr>
          <w:p>
            <w:pPr>
              <w:spacing w:after="0"/>
            </w:pPr>
            <w:r/>
            <w:r>
              <w:rPr>
                <w:rFonts w:ascii="Aptos" w:hAnsi="Aptos"/>
                <w:b/>
                <w:color w:val="FFFFFF"/>
                <w:sz w:val="16"/>
              </w:rPr>
              <w:t>Classification</w:t>
            </w:r>
          </w:p>
        </w:tc>
        <w:tc>
          <w:tcPr>
            <w:tcW w:type="dxa" w:w="4946"/>
            <w:tcMar>
              <w:top w:w="80" w:type="dxa"/>
              <w:start w:w="100" w:type="dxa"/>
              <w:bottom w:w="80" w:type="dxa"/>
              <w:end w:w="100" w:type="dxa"/>
            </w:tcMar>
            <w:vAlign w:val="center"/>
            <w:shd w:fill="FFFFFF"/>
          </w:tcPr>
          <w:p>
            <w:pPr>
              <w:spacing w:after="0"/>
            </w:pPr>
            <w:r/>
            <w:r>
              <w:rPr>
                <w:rFonts w:ascii="Aptos" w:hAnsi="Aptos"/>
                <w:b w:val="0"/>
                <w:color w:val="222222"/>
                <w:sz w:val="16"/>
              </w:rPr>
              <w:t>Future/national liability regime</w:t>
            </w:r>
          </w:p>
        </w:tc>
      </w:tr>
      <w:tr>
        <w:tc>
          <w:tcPr>
            <w:tcW w:type="dxa" w:w="4946"/>
            <w:tcMar>
              <w:top w:w="80" w:type="dxa"/>
              <w:start w:w="100" w:type="dxa"/>
              <w:bottom w:w="80" w:type="dxa"/>
              <w:end w:w="100" w:type="dxa"/>
            </w:tcMar>
            <w:vAlign w:val="center"/>
            <w:shd w:fill="2A6F6B"/>
          </w:tcPr>
          <w:p>
            <w:pPr>
              <w:spacing w:after="0"/>
            </w:pPr>
            <w:r/>
            <w:r>
              <w:rPr>
                <w:rFonts w:ascii="Aptos" w:hAnsi="Aptos"/>
                <w:b/>
                <w:color w:val="FFFFFF"/>
                <w:sz w:val="16"/>
              </w:rPr>
              <w:t>Source / provision</w:t>
            </w:r>
          </w:p>
        </w:tc>
        <w:tc>
          <w:tcPr>
            <w:tcW w:type="dxa" w:w="4946"/>
            <w:tcMar>
              <w:top w:w="80" w:type="dxa"/>
              <w:start w:w="100" w:type="dxa"/>
              <w:bottom w:w="80" w:type="dxa"/>
              <w:end w:w="100" w:type="dxa"/>
            </w:tcMar>
            <w:vAlign w:val="center"/>
            <w:shd w:fill="F7F9FA"/>
          </w:tcPr>
          <w:p>
            <w:pPr>
              <w:spacing w:after="0"/>
            </w:pPr>
            <w:r/>
            <w:r>
              <w:rPr>
                <w:rFonts w:ascii="Aptos" w:hAnsi="Aptos"/>
                <w:b w:val="0"/>
                <w:color w:val="222222"/>
                <w:sz w:val="16"/>
              </w:rPr>
              <w:t>Directive (EU) 2024/2853, scope/application provisions | S25</w:t>
            </w:r>
          </w:p>
        </w:tc>
      </w:tr>
      <w:tr>
        <w:tc>
          <w:tcPr>
            <w:tcW w:type="dxa" w:w="4946"/>
            <w:tcMar>
              <w:top w:w="80" w:type="dxa"/>
              <w:start w:w="100" w:type="dxa"/>
              <w:bottom w:w="80" w:type="dxa"/>
              <w:end w:w="100" w:type="dxa"/>
            </w:tcMar>
            <w:vAlign w:val="center"/>
            <w:shd w:fill="2A6F6B"/>
          </w:tcPr>
          <w:p>
            <w:pPr>
              <w:spacing w:after="0"/>
            </w:pPr>
            <w:r/>
            <w:r>
              <w:rPr>
                <w:rFonts w:ascii="Aptos" w:hAnsi="Aptos"/>
                <w:b/>
                <w:color w:val="FFFFFF"/>
                <w:sz w:val="16"/>
              </w:rPr>
              <w:t>Applicability</w:t>
            </w:r>
          </w:p>
        </w:tc>
        <w:tc>
          <w:tcPr>
            <w:tcW w:type="dxa" w:w="4946"/>
            <w:tcMar>
              <w:top w:w="80" w:type="dxa"/>
              <w:start w:w="100" w:type="dxa"/>
              <w:bottom w:w="80" w:type="dxa"/>
              <w:end w:w="100" w:type="dxa"/>
            </w:tcMar>
            <w:vAlign w:val="center"/>
            <w:shd w:fill="FFFFFF"/>
          </w:tcPr>
          <w:p>
            <w:pPr>
              <w:spacing w:after="0"/>
            </w:pPr>
            <w:r/>
            <w:r>
              <w:rPr>
                <w:rFonts w:ascii="Aptos" w:hAnsi="Aptos"/>
                <w:b w:val="0"/>
                <w:color w:val="222222"/>
                <w:sz w:val="16"/>
              </w:rPr>
              <w:t>Relevant to defective product outcomes involving software/AI and cybersecurity defects, subject to national transposition and specific claim facts.</w:t>
            </w:r>
          </w:p>
        </w:tc>
      </w:tr>
      <w:tr>
        <w:tc>
          <w:tcPr>
            <w:tcW w:type="dxa" w:w="4946"/>
            <w:tcMar>
              <w:top w:w="80" w:type="dxa"/>
              <w:start w:w="100" w:type="dxa"/>
              <w:bottom w:w="80" w:type="dxa"/>
              <w:end w:w="100" w:type="dxa"/>
            </w:tcMar>
            <w:vAlign w:val="center"/>
            <w:shd w:fill="2A6F6B"/>
          </w:tcPr>
          <w:p>
            <w:pPr>
              <w:spacing w:after="0"/>
            </w:pPr>
            <w:r/>
            <w:r>
              <w:rPr>
                <w:rFonts w:ascii="Aptos" w:hAnsi="Aptos"/>
                <w:b/>
                <w:color w:val="FFFFFF"/>
                <w:sz w:val="16"/>
              </w:rPr>
              <w:t>Timing / status</w:t>
            </w:r>
          </w:p>
        </w:tc>
        <w:tc>
          <w:tcPr>
            <w:tcW w:type="dxa" w:w="4946"/>
            <w:tcMar>
              <w:top w:w="80" w:type="dxa"/>
              <w:start w:w="100" w:type="dxa"/>
              <w:bottom w:w="80" w:type="dxa"/>
              <w:end w:w="100" w:type="dxa"/>
            </w:tcMar>
            <w:vAlign w:val="center"/>
            <w:shd w:fill="F7F9FA"/>
          </w:tcPr>
          <w:p>
            <w:pPr>
              <w:spacing w:after="0"/>
            </w:pPr>
            <w:r/>
            <w:r>
              <w:rPr>
                <w:rFonts w:ascii="Aptos" w:hAnsi="Aptos"/>
                <w:b w:val="0"/>
                <w:color w:val="222222"/>
                <w:sz w:val="16"/>
              </w:rPr>
              <w:t>Products after 9 Dec 2026; national transposition required</w:t>
            </w:r>
          </w:p>
        </w:tc>
      </w:tr>
      <w:tr>
        <w:tc>
          <w:tcPr>
            <w:tcW w:type="dxa" w:w="4946"/>
            <w:tcMar>
              <w:top w:w="80" w:type="dxa"/>
              <w:start w:w="100" w:type="dxa"/>
              <w:bottom w:w="80" w:type="dxa"/>
              <w:end w:w="100" w:type="dxa"/>
            </w:tcMar>
            <w:vAlign w:val="center"/>
            <w:shd w:fill="2A6F6B"/>
          </w:tcPr>
          <w:p>
            <w:pPr>
              <w:spacing w:after="0"/>
            </w:pPr>
            <w:r/>
            <w:r>
              <w:rPr>
                <w:rFonts w:ascii="Aptos" w:hAnsi="Aptos"/>
                <w:b/>
                <w:color w:val="FFFFFF"/>
                <w:sz w:val="16"/>
              </w:rPr>
              <w:t>Uncertainty / action</w:t>
            </w:r>
          </w:p>
        </w:tc>
        <w:tc>
          <w:tcPr>
            <w:tcW w:type="dxa" w:w="4946"/>
            <w:tcMar>
              <w:top w:w="80" w:type="dxa"/>
              <w:start w:w="100" w:type="dxa"/>
              <w:bottom w:w="80" w:type="dxa"/>
              <w:end w:w="100" w:type="dxa"/>
            </w:tcMar>
            <w:vAlign w:val="center"/>
            <w:shd w:fill="FFFFFF"/>
          </w:tcPr>
          <w:p>
            <w:pPr>
              <w:spacing w:after="0"/>
            </w:pPr>
            <w:r/>
            <w:r>
              <w:rPr>
                <w:rFonts w:ascii="Aptos" w:hAnsi="Aptos"/>
                <w:b w:val="0"/>
                <w:color w:val="222222"/>
                <w:sz w:val="16"/>
              </w:rPr>
              <w:t>Uncertainty: Medium.  Duckworks action: Strengthen traceability, validation, change history, incident records and supplier evidence for product-integrated AI.</w:t>
            </w:r>
          </w:p>
        </w:tc>
      </w:tr>
    </w:tbl>
    <w:p>
      <w:pPr>
        <w:spacing w:after="20"/>
      </w:pPr>
    </w:p>
    <w:p>
      <w:pPr>
        <w:keepNext/>
        <w:spacing w:before="100" w:after="40"/>
      </w:pPr>
      <w:r>
        <w:rPr>
          <w:b/>
          <w:color w:val="17324D"/>
          <w:sz w:val="21"/>
        </w:rPr>
        <w:t>L-34  High-risk AI used in the workplace creates employee/worker-representative information duties in addition to general deployer obligations.</w:t>
      </w:r>
    </w:p>
    <w:tbl>
      <w:tblPr>
        <w:tblW w:type="auto" w:w="0"/>
        <w:jc w:val="center"/>
        <w:tblLayout w:type="fixed"/>
        <w:tblLook w:firstColumn="1" w:firstRow="1" w:lastColumn="0" w:lastRow="0" w:noHBand="0" w:noVBand="1" w:val="04A0"/>
      </w:tblPr>
      <w:tblGrid>
        <w:gridCol w:w="1944"/>
        <w:gridCol w:w="8280"/>
      </w:tblGrid>
      <w:tr>
        <w:tc>
          <w:tcPr>
            <w:tcW w:type="dxa" w:w="4946"/>
            <w:tcMar>
              <w:top w:w="80" w:type="dxa"/>
              <w:start w:w="100" w:type="dxa"/>
              <w:bottom w:w="80" w:type="dxa"/>
              <w:end w:w="100" w:type="dxa"/>
            </w:tcMar>
            <w:vAlign w:val="center"/>
            <w:shd w:fill="2A6F6B"/>
          </w:tcPr>
          <w:p>
            <w:pPr>
              <w:spacing w:after="0"/>
            </w:pPr>
            <w:r/>
            <w:r>
              <w:rPr>
                <w:rFonts w:ascii="Aptos" w:hAnsi="Aptos"/>
                <w:b/>
                <w:color w:val="FFFFFF"/>
                <w:sz w:val="16"/>
              </w:rPr>
              <w:t>Classification</w:t>
            </w:r>
          </w:p>
        </w:tc>
        <w:tc>
          <w:tcPr>
            <w:tcW w:type="dxa" w:w="4946"/>
            <w:tcMar>
              <w:top w:w="80" w:type="dxa"/>
              <w:start w:w="100" w:type="dxa"/>
              <w:bottom w:w="80" w:type="dxa"/>
              <w:end w:w="100" w:type="dxa"/>
            </w:tcMar>
            <w:vAlign w:val="center"/>
            <w:shd w:fill="FFFFFF"/>
          </w:tcPr>
          <w:p>
            <w:pPr>
              <w:spacing w:after="0"/>
            </w:pPr>
            <w:r/>
            <w:r>
              <w:rPr>
                <w:rFonts w:ascii="Aptos" w:hAnsi="Aptos"/>
                <w:b w:val="0"/>
                <w:color w:val="222222"/>
                <w:sz w:val="16"/>
              </w:rPr>
              <w:t>Future mandatory high-risk requirement</w:t>
            </w:r>
          </w:p>
        </w:tc>
      </w:tr>
      <w:tr>
        <w:tc>
          <w:tcPr>
            <w:tcW w:type="dxa" w:w="4946"/>
            <w:tcMar>
              <w:top w:w="80" w:type="dxa"/>
              <w:start w:w="100" w:type="dxa"/>
              <w:bottom w:w="80" w:type="dxa"/>
              <w:end w:w="100" w:type="dxa"/>
            </w:tcMar>
            <w:vAlign w:val="center"/>
            <w:shd w:fill="2A6F6B"/>
          </w:tcPr>
          <w:p>
            <w:pPr>
              <w:spacing w:after="0"/>
            </w:pPr>
            <w:r/>
            <w:r>
              <w:rPr>
                <w:rFonts w:ascii="Aptos" w:hAnsi="Aptos"/>
                <w:b/>
                <w:color w:val="FFFFFF"/>
                <w:sz w:val="16"/>
              </w:rPr>
              <w:t>Source / provision</w:t>
            </w:r>
          </w:p>
        </w:tc>
        <w:tc>
          <w:tcPr>
            <w:tcW w:type="dxa" w:w="4946"/>
            <w:tcMar>
              <w:top w:w="80" w:type="dxa"/>
              <w:start w:w="100" w:type="dxa"/>
              <w:bottom w:w="80" w:type="dxa"/>
              <w:end w:w="100" w:type="dxa"/>
            </w:tcMar>
            <w:vAlign w:val="center"/>
            <w:shd w:fill="F7F9FA"/>
          </w:tcPr>
          <w:p>
            <w:pPr>
              <w:spacing w:after="0"/>
            </w:pPr>
            <w:r/>
            <w:r>
              <w:rPr>
                <w:rFonts w:ascii="Aptos" w:hAnsi="Aptos"/>
                <w:b w:val="0"/>
                <w:color w:val="222222"/>
                <w:sz w:val="16"/>
              </w:rPr>
              <w:t>AI Act Art. 26 | S01</w:t>
            </w:r>
          </w:p>
        </w:tc>
      </w:tr>
      <w:tr>
        <w:tc>
          <w:tcPr>
            <w:tcW w:type="dxa" w:w="4946"/>
            <w:tcMar>
              <w:top w:w="80" w:type="dxa"/>
              <w:start w:w="100" w:type="dxa"/>
              <w:bottom w:w="80" w:type="dxa"/>
              <w:end w:w="100" w:type="dxa"/>
            </w:tcMar>
            <w:vAlign w:val="center"/>
            <w:shd w:fill="2A6F6B"/>
          </w:tcPr>
          <w:p>
            <w:pPr>
              <w:spacing w:after="0"/>
            </w:pPr>
            <w:r/>
            <w:r>
              <w:rPr>
                <w:rFonts w:ascii="Aptos" w:hAnsi="Aptos"/>
                <w:b/>
                <w:color w:val="FFFFFF"/>
                <w:sz w:val="16"/>
              </w:rPr>
              <w:t>Applicability</w:t>
            </w:r>
          </w:p>
        </w:tc>
        <w:tc>
          <w:tcPr>
            <w:tcW w:type="dxa" w:w="4946"/>
            <w:tcMar>
              <w:top w:w="80" w:type="dxa"/>
              <w:start w:w="100" w:type="dxa"/>
              <w:bottom w:w="80" w:type="dxa"/>
              <w:end w:w="100" w:type="dxa"/>
            </w:tcMar>
            <w:vAlign w:val="center"/>
            <w:shd w:fill="FFFFFF"/>
          </w:tcPr>
          <w:p>
            <w:pPr>
              <w:spacing w:after="0"/>
            </w:pPr>
            <w:r/>
            <w:r>
              <w:rPr>
                <w:rFonts w:ascii="Aptos" w:hAnsi="Aptos"/>
                <w:b w:val="0"/>
                <w:color w:val="222222"/>
                <w:sz w:val="16"/>
              </w:rPr>
              <w:t>Relevant to DuckTalent if high-risk and used by Duckworks as employer.</w:t>
            </w:r>
          </w:p>
        </w:tc>
      </w:tr>
      <w:tr>
        <w:tc>
          <w:tcPr>
            <w:tcW w:type="dxa" w:w="4946"/>
            <w:tcMar>
              <w:top w:w="80" w:type="dxa"/>
              <w:start w:w="100" w:type="dxa"/>
              <w:bottom w:w="80" w:type="dxa"/>
              <w:end w:w="100" w:type="dxa"/>
            </w:tcMar>
            <w:vAlign w:val="center"/>
            <w:shd w:fill="2A6F6B"/>
          </w:tcPr>
          <w:p>
            <w:pPr>
              <w:spacing w:after="0"/>
            </w:pPr>
            <w:r/>
            <w:r>
              <w:rPr>
                <w:rFonts w:ascii="Aptos" w:hAnsi="Aptos"/>
                <w:b/>
                <w:color w:val="FFFFFF"/>
                <w:sz w:val="16"/>
              </w:rPr>
              <w:t>Timing / status</w:t>
            </w:r>
          </w:p>
        </w:tc>
        <w:tc>
          <w:tcPr>
            <w:tcW w:type="dxa" w:w="4946"/>
            <w:tcMar>
              <w:top w:w="80" w:type="dxa"/>
              <w:start w:w="100" w:type="dxa"/>
              <w:bottom w:w="80" w:type="dxa"/>
              <w:end w:w="100" w:type="dxa"/>
            </w:tcMar>
            <w:vAlign w:val="center"/>
            <w:shd w:fill="F7F9FA"/>
          </w:tcPr>
          <w:p>
            <w:pPr>
              <w:spacing w:after="0"/>
            </w:pPr>
            <w:r/>
            <w:r>
              <w:rPr>
                <w:rFonts w:ascii="Aptos" w:hAnsi="Aptos"/>
                <w:b w:val="0"/>
                <w:color w:val="222222"/>
                <w:sz w:val="16"/>
              </w:rPr>
              <w:t>From 2 Dec 2027 for Annex III DuckTalent</w:t>
            </w:r>
          </w:p>
        </w:tc>
      </w:tr>
      <w:tr>
        <w:tc>
          <w:tcPr>
            <w:tcW w:type="dxa" w:w="4946"/>
            <w:tcMar>
              <w:top w:w="80" w:type="dxa"/>
              <w:start w:w="100" w:type="dxa"/>
              <w:bottom w:w="80" w:type="dxa"/>
              <w:end w:w="100" w:type="dxa"/>
            </w:tcMar>
            <w:vAlign w:val="center"/>
            <w:shd w:fill="2A6F6B"/>
          </w:tcPr>
          <w:p>
            <w:pPr>
              <w:spacing w:after="0"/>
            </w:pPr>
            <w:r/>
            <w:r>
              <w:rPr>
                <w:rFonts w:ascii="Aptos" w:hAnsi="Aptos"/>
                <w:b/>
                <w:color w:val="FFFFFF"/>
                <w:sz w:val="16"/>
              </w:rPr>
              <w:t>Uncertainty / action</w:t>
            </w:r>
          </w:p>
        </w:tc>
        <w:tc>
          <w:tcPr>
            <w:tcW w:type="dxa" w:w="4946"/>
            <w:tcMar>
              <w:top w:w="80" w:type="dxa"/>
              <w:start w:w="100" w:type="dxa"/>
              <w:bottom w:w="80" w:type="dxa"/>
              <w:end w:w="100" w:type="dxa"/>
            </w:tcMar>
            <w:vAlign w:val="center"/>
            <w:shd w:fill="FFFFFF"/>
          </w:tcPr>
          <w:p>
            <w:pPr>
              <w:spacing w:after="0"/>
            </w:pPr>
            <w:r/>
            <w:r>
              <w:rPr>
                <w:rFonts w:ascii="Aptos" w:hAnsi="Aptos"/>
                <w:b w:val="0"/>
                <w:color w:val="222222"/>
                <w:sz w:val="16"/>
              </w:rPr>
              <w:t>Uncertainty: Medium.  Duckworks action: Include workforce/representative notification and consultation checkpoint in DuckTalent deployment planning, subject to national labour law.</w:t>
            </w:r>
          </w:p>
        </w:tc>
      </w:tr>
    </w:tbl>
    <w:p>
      <w:pPr>
        <w:spacing w:after="20"/>
      </w:pPr>
    </w:p>
    <w:p>
      <w:pPr>
        <w:keepNext/>
        <w:spacing w:before="100" w:after="40"/>
      </w:pPr>
      <w:r>
        <w:rPr>
          <w:b/>
          <w:color w:val="17324D"/>
          <w:sz w:val="21"/>
        </w:rPr>
        <w:t>L-35  High-risk Annex III systems carry registration/database obligations and supporting documentation expectations.</w:t>
      </w:r>
    </w:p>
    <w:tbl>
      <w:tblPr>
        <w:tblW w:type="auto" w:w="0"/>
        <w:jc w:val="center"/>
        <w:tblLayout w:type="fixed"/>
        <w:tblLook w:firstColumn="1" w:firstRow="1" w:lastColumn="0" w:lastRow="0" w:noHBand="0" w:noVBand="1" w:val="04A0"/>
      </w:tblPr>
      <w:tblGrid>
        <w:gridCol w:w="1944"/>
        <w:gridCol w:w="8280"/>
      </w:tblGrid>
      <w:tr>
        <w:tc>
          <w:tcPr>
            <w:tcW w:type="dxa" w:w="4946"/>
            <w:tcMar>
              <w:top w:w="80" w:type="dxa"/>
              <w:start w:w="100" w:type="dxa"/>
              <w:bottom w:w="80" w:type="dxa"/>
              <w:end w:w="100" w:type="dxa"/>
            </w:tcMar>
            <w:vAlign w:val="center"/>
            <w:shd w:fill="2A6F6B"/>
          </w:tcPr>
          <w:p>
            <w:pPr>
              <w:spacing w:after="0"/>
            </w:pPr>
            <w:r/>
            <w:r>
              <w:rPr>
                <w:rFonts w:ascii="Aptos" w:hAnsi="Aptos"/>
                <w:b/>
                <w:color w:val="FFFFFF"/>
                <w:sz w:val="16"/>
              </w:rPr>
              <w:t>Classification</w:t>
            </w:r>
          </w:p>
        </w:tc>
        <w:tc>
          <w:tcPr>
            <w:tcW w:type="dxa" w:w="4946"/>
            <w:tcMar>
              <w:top w:w="80" w:type="dxa"/>
              <w:start w:w="100" w:type="dxa"/>
              <w:bottom w:w="80" w:type="dxa"/>
              <w:end w:w="100" w:type="dxa"/>
            </w:tcMar>
            <w:vAlign w:val="center"/>
            <w:shd w:fill="FFFFFF"/>
          </w:tcPr>
          <w:p>
            <w:pPr>
              <w:spacing w:after="0"/>
            </w:pPr>
            <w:r/>
            <w:r>
              <w:rPr>
                <w:rFonts w:ascii="Aptos" w:hAnsi="Aptos"/>
                <w:b w:val="0"/>
                <w:color w:val="222222"/>
                <w:sz w:val="16"/>
              </w:rPr>
              <w:t>Future mandatory high-risk requirement</w:t>
            </w:r>
          </w:p>
        </w:tc>
      </w:tr>
      <w:tr>
        <w:tc>
          <w:tcPr>
            <w:tcW w:type="dxa" w:w="4946"/>
            <w:tcMar>
              <w:top w:w="80" w:type="dxa"/>
              <w:start w:w="100" w:type="dxa"/>
              <w:bottom w:w="80" w:type="dxa"/>
              <w:end w:w="100" w:type="dxa"/>
            </w:tcMar>
            <w:vAlign w:val="center"/>
            <w:shd w:fill="2A6F6B"/>
          </w:tcPr>
          <w:p>
            <w:pPr>
              <w:spacing w:after="0"/>
            </w:pPr>
            <w:r/>
            <w:r>
              <w:rPr>
                <w:rFonts w:ascii="Aptos" w:hAnsi="Aptos"/>
                <w:b/>
                <w:color w:val="FFFFFF"/>
                <w:sz w:val="16"/>
              </w:rPr>
              <w:t>Source / provision</w:t>
            </w:r>
          </w:p>
        </w:tc>
        <w:tc>
          <w:tcPr>
            <w:tcW w:type="dxa" w:w="4946"/>
            <w:tcMar>
              <w:top w:w="80" w:type="dxa"/>
              <w:start w:w="100" w:type="dxa"/>
              <w:bottom w:w="80" w:type="dxa"/>
              <w:end w:w="100" w:type="dxa"/>
            </w:tcMar>
            <w:vAlign w:val="center"/>
            <w:shd w:fill="F7F9FA"/>
          </w:tcPr>
          <w:p>
            <w:pPr>
              <w:spacing w:after="0"/>
            </w:pPr>
            <w:r/>
            <w:r>
              <w:rPr>
                <w:rFonts w:ascii="Aptos" w:hAnsi="Aptos"/>
                <w:b w:val="0"/>
                <w:color w:val="222222"/>
                <w:sz w:val="16"/>
              </w:rPr>
              <w:t>AI Act Arts. 49 and 71 | S01</w:t>
            </w:r>
          </w:p>
        </w:tc>
      </w:tr>
      <w:tr>
        <w:tc>
          <w:tcPr>
            <w:tcW w:type="dxa" w:w="4946"/>
            <w:tcMar>
              <w:top w:w="80" w:type="dxa"/>
              <w:start w:w="100" w:type="dxa"/>
              <w:bottom w:w="80" w:type="dxa"/>
              <w:end w:w="100" w:type="dxa"/>
            </w:tcMar>
            <w:vAlign w:val="center"/>
            <w:shd w:fill="2A6F6B"/>
          </w:tcPr>
          <w:p>
            <w:pPr>
              <w:spacing w:after="0"/>
            </w:pPr>
            <w:r/>
            <w:r>
              <w:rPr>
                <w:rFonts w:ascii="Aptos" w:hAnsi="Aptos"/>
                <w:b/>
                <w:color w:val="FFFFFF"/>
                <w:sz w:val="16"/>
              </w:rPr>
              <w:t>Applicability</w:t>
            </w:r>
          </w:p>
        </w:tc>
        <w:tc>
          <w:tcPr>
            <w:tcW w:type="dxa" w:w="4946"/>
            <w:tcMar>
              <w:top w:w="80" w:type="dxa"/>
              <w:start w:w="100" w:type="dxa"/>
              <w:bottom w:w="80" w:type="dxa"/>
              <w:end w:w="100" w:type="dxa"/>
            </w:tcMar>
            <w:vAlign w:val="center"/>
            <w:shd w:fill="FFFFFF"/>
          </w:tcPr>
          <w:p>
            <w:pPr>
              <w:spacing w:after="0"/>
            </w:pPr>
            <w:r/>
            <w:r>
              <w:rPr>
                <w:rFonts w:ascii="Aptos" w:hAnsi="Aptos"/>
                <w:b w:val="0"/>
                <w:color w:val="222222"/>
                <w:sz w:val="16"/>
              </w:rPr>
              <w:t>Relevant to DuckTalent if classification is confirmed and depending on Duckworks provider/deployer role.</w:t>
            </w:r>
          </w:p>
        </w:tc>
      </w:tr>
      <w:tr>
        <w:tc>
          <w:tcPr>
            <w:tcW w:type="dxa" w:w="4946"/>
            <w:tcMar>
              <w:top w:w="80" w:type="dxa"/>
              <w:start w:w="100" w:type="dxa"/>
              <w:bottom w:w="80" w:type="dxa"/>
              <w:end w:w="100" w:type="dxa"/>
            </w:tcMar>
            <w:vAlign w:val="center"/>
            <w:shd w:fill="2A6F6B"/>
          </w:tcPr>
          <w:p>
            <w:pPr>
              <w:spacing w:after="0"/>
            </w:pPr>
            <w:r/>
            <w:r>
              <w:rPr>
                <w:rFonts w:ascii="Aptos" w:hAnsi="Aptos"/>
                <w:b/>
                <w:color w:val="FFFFFF"/>
                <w:sz w:val="16"/>
              </w:rPr>
              <w:t>Timing / status</w:t>
            </w:r>
          </w:p>
        </w:tc>
        <w:tc>
          <w:tcPr>
            <w:tcW w:type="dxa" w:w="4946"/>
            <w:tcMar>
              <w:top w:w="80" w:type="dxa"/>
              <w:start w:w="100" w:type="dxa"/>
              <w:bottom w:w="80" w:type="dxa"/>
              <w:end w:w="100" w:type="dxa"/>
            </w:tcMar>
            <w:vAlign w:val="center"/>
            <w:shd w:fill="F7F9FA"/>
          </w:tcPr>
          <w:p>
            <w:pPr>
              <w:spacing w:after="0"/>
            </w:pPr>
            <w:r/>
            <w:r>
              <w:rPr>
                <w:rFonts w:ascii="Aptos" w:hAnsi="Aptos"/>
                <w:b w:val="0"/>
                <w:color w:val="222222"/>
                <w:sz w:val="16"/>
              </w:rPr>
              <w:t>From high-risk application date</w:t>
            </w:r>
          </w:p>
        </w:tc>
      </w:tr>
      <w:tr>
        <w:tc>
          <w:tcPr>
            <w:tcW w:type="dxa" w:w="4946"/>
            <w:tcMar>
              <w:top w:w="80" w:type="dxa"/>
              <w:start w:w="100" w:type="dxa"/>
              <w:bottom w:w="80" w:type="dxa"/>
              <w:end w:w="100" w:type="dxa"/>
            </w:tcMar>
            <w:vAlign w:val="center"/>
            <w:shd w:fill="2A6F6B"/>
          </w:tcPr>
          <w:p>
            <w:pPr>
              <w:spacing w:after="0"/>
            </w:pPr>
            <w:r/>
            <w:r>
              <w:rPr>
                <w:rFonts w:ascii="Aptos" w:hAnsi="Aptos"/>
                <w:b/>
                <w:color w:val="FFFFFF"/>
                <w:sz w:val="16"/>
              </w:rPr>
              <w:t>Uncertainty / action</w:t>
            </w:r>
          </w:p>
        </w:tc>
        <w:tc>
          <w:tcPr>
            <w:tcW w:type="dxa" w:w="4946"/>
            <w:tcMar>
              <w:top w:w="80" w:type="dxa"/>
              <w:start w:w="100" w:type="dxa"/>
              <w:bottom w:w="80" w:type="dxa"/>
              <w:end w:w="100" w:type="dxa"/>
            </w:tcMar>
            <w:vAlign w:val="center"/>
            <w:shd w:fill="FFFFFF"/>
          </w:tcPr>
          <w:p>
            <w:pPr>
              <w:spacing w:after="0"/>
            </w:pPr>
            <w:r/>
            <w:r>
              <w:rPr>
                <w:rFonts w:ascii="Aptos" w:hAnsi="Aptos"/>
                <w:b w:val="0"/>
                <w:color w:val="222222"/>
                <w:sz w:val="16"/>
              </w:rPr>
              <w:t>Uncertainty: Medium.  Duckworks action: Include registration evidence and EU database readiness in the future compliance plan.</w:t>
            </w:r>
          </w:p>
        </w:tc>
      </w:tr>
    </w:tbl>
    <w:p>
      <w:pPr>
        <w:spacing w:after="20"/>
      </w:pPr>
    </w:p>
    <w:p>
      <w:pPr>
        <w:pStyle w:val="Heading1"/>
        <w:keepNext/>
      </w:pPr>
      <w:r>
        <w:t>3. Official European and Regulatory Guidance</w:t>
      </w:r>
    </w:p>
    <w:p>
      <w:r>
        <w:t>The items in this section support interpretation and implementation. They do not independently create new statutory duties unless the underlying law does. Draft guidance is explicitly identified as draft.</w:t>
      </w:r>
    </w:p>
    <w:tbl>
      <w:tblPr>
        <w:tblW w:type="auto" w:w="0"/>
        <w:jc w:val="center"/>
        <w:tblLayout w:type="fixed"/>
        <w:tblLook w:firstColumn="1" w:firstRow="1" w:lastColumn="0" w:lastRow="0" w:noHBand="0" w:noVBand="1" w:val="04A0"/>
      </w:tblPr>
      <w:tblGrid>
        <w:gridCol w:w="1979"/>
        <w:gridCol w:w="1979"/>
        <w:gridCol w:w="1979"/>
        <w:gridCol w:w="1979"/>
        <w:gridCol w:w="1979"/>
      </w:tblGrid>
      <w:tr>
        <w:tc>
          <w:tcPr>
            <w:tcW w:type="dxa" w:w="792"/>
            <w:tcMar>
              <w:top w:w="80" w:type="dxa"/>
              <w:start w:w="100" w:type="dxa"/>
              <w:bottom w:w="80" w:type="dxa"/>
              <w:end w:w="100" w:type="dxa"/>
            </w:tcMar>
            <w:vAlign w:val="center"/>
            <w:shd w:fill="17324D"/>
          </w:tcPr>
          <w:p>
            <w:pPr>
              <w:spacing w:after="0"/>
            </w:pPr>
            <w:r/>
            <w:r>
              <w:rPr>
                <w:rFonts w:ascii="Aptos" w:hAnsi="Aptos"/>
                <w:b/>
                <w:color w:val="FFFFFF"/>
                <w:sz w:val="14"/>
              </w:rPr>
              <w:t>ID</w:t>
            </w:r>
          </w:p>
        </w:tc>
        <w:tc>
          <w:tcPr>
            <w:tcW w:type="dxa" w:w="1512"/>
            <w:tcMar>
              <w:top w:w="80" w:type="dxa"/>
              <w:start w:w="100" w:type="dxa"/>
              <w:bottom w:w="80" w:type="dxa"/>
              <w:end w:w="100" w:type="dxa"/>
            </w:tcMar>
            <w:vAlign w:val="center"/>
            <w:shd w:fill="17324D"/>
          </w:tcPr>
          <w:p>
            <w:pPr>
              <w:spacing w:after="0"/>
            </w:pPr>
            <w:r/>
            <w:r>
              <w:rPr>
                <w:rFonts w:ascii="Aptos" w:hAnsi="Aptos"/>
                <w:b/>
                <w:color w:val="FFFFFF"/>
                <w:sz w:val="14"/>
              </w:rPr>
              <w:t>Status</w:t>
            </w:r>
          </w:p>
        </w:tc>
        <w:tc>
          <w:tcPr>
            <w:tcW w:type="dxa" w:w="3384"/>
            <w:tcMar>
              <w:top w:w="80" w:type="dxa"/>
              <w:start w:w="100" w:type="dxa"/>
              <w:bottom w:w="80" w:type="dxa"/>
              <w:end w:w="100" w:type="dxa"/>
            </w:tcMar>
            <w:vAlign w:val="center"/>
            <w:shd w:fill="17324D"/>
          </w:tcPr>
          <w:p>
            <w:pPr>
              <w:spacing w:after="0"/>
            </w:pPr>
            <w:r/>
            <w:r>
              <w:rPr>
                <w:rFonts w:ascii="Aptos" w:hAnsi="Aptos"/>
                <w:b/>
                <w:color w:val="FFFFFF"/>
                <w:sz w:val="14"/>
              </w:rPr>
              <w:t>Conclusion / use</w:t>
            </w:r>
          </w:p>
        </w:tc>
        <w:tc>
          <w:tcPr>
            <w:tcW w:type="dxa" w:w="2448"/>
            <w:tcMar>
              <w:top w:w="80" w:type="dxa"/>
              <w:start w:w="100" w:type="dxa"/>
              <w:bottom w:w="80" w:type="dxa"/>
              <w:end w:w="100" w:type="dxa"/>
            </w:tcMar>
            <w:vAlign w:val="center"/>
            <w:shd w:fill="17324D"/>
          </w:tcPr>
          <w:p>
            <w:pPr>
              <w:spacing w:after="0"/>
            </w:pPr>
            <w:r/>
            <w:r>
              <w:rPr>
                <w:rFonts w:ascii="Aptos" w:hAnsi="Aptos"/>
                <w:b/>
                <w:color w:val="FFFFFF"/>
                <w:sz w:val="14"/>
              </w:rPr>
              <w:t>Source basis</w:t>
            </w:r>
          </w:p>
        </w:tc>
        <w:tc>
          <w:tcPr>
            <w:tcW w:type="dxa" w:w="2520"/>
            <w:tcMar>
              <w:top w:w="80" w:type="dxa"/>
              <w:start w:w="100" w:type="dxa"/>
              <w:bottom w:w="80" w:type="dxa"/>
              <w:end w:w="100" w:type="dxa"/>
            </w:tcMar>
            <w:vAlign w:val="center"/>
            <w:shd w:fill="17324D"/>
          </w:tcPr>
          <w:p>
            <w:pPr>
              <w:spacing w:after="0"/>
            </w:pPr>
            <w:r/>
            <w:r>
              <w:rPr>
                <w:rFonts w:ascii="Aptos" w:hAnsi="Aptos"/>
                <w:b/>
                <w:color w:val="FFFFFF"/>
                <w:sz w:val="14"/>
              </w:rPr>
              <w:t>Duckworks relevance</w:t>
            </w:r>
          </w:p>
        </w:tc>
      </w:tr>
      <w:tr>
        <w:tc>
          <w:tcPr>
            <w:tcW w:type="dxa" w:w="792"/>
            <w:tcMar>
              <w:top w:w="80" w:type="dxa"/>
              <w:start w:w="100" w:type="dxa"/>
              <w:bottom w:w="80" w:type="dxa"/>
              <w:end w:w="100" w:type="dxa"/>
            </w:tcMar>
            <w:vAlign w:val="center"/>
            <w:shd w:fill="FFFFFF"/>
          </w:tcPr>
          <w:p>
            <w:pPr>
              <w:spacing w:after="0"/>
            </w:pPr>
            <w:r/>
            <w:r>
              <w:rPr>
                <w:rFonts w:ascii="Aptos" w:hAnsi="Aptos"/>
                <w:b w:val="0"/>
                <w:color w:val="222222"/>
                <w:sz w:val="14"/>
              </w:rPr>
              <w:t>G-01</w:t>
            </w:r>
          </w:p>
        </w:tc>
        <w:tc>
          <w:tcPr>
            <w:tcW w:type="dxa" w:w="1512"/>
            <w:tcMar>
              <w:top w:w="80" w:type="dxa"/>
              <w:start w:w="100" w:type="dxa"/>
              <w:bottom w:w="80" w:type="dxa"/>
              <w:end w:w="100" w:type="dxa"/>
            </w:tcMar>
            <w:vAlign w:val="center"/>
            <w:shd w:fill="FFFFFF"/>
          </w:tcPr>
          <w:p>
            <w:pPr>
              <w:spacing w:after="0"/>
            </w:pPr>
            <w:r/>
            <w:r>
              <w:rPr>
                <w:rFonts w:ascii="Aptos" w:hAnsi="Aptos"/>
                <w:b w:val="0"/>
                <w:color w:val="222222"/>
                <w:sz w:val="14"/>
              </w:rPr>
              <w:t>Official non-binding guidance</w:t>
            </w:r>
          </w:p>
        </w:tc>
        <w:tc>
          <w:tcPr>
            <w:tcW w:type="dxa" w:w="3384"/>
            <w:tcMar>
              <w:top w:w="80" w:type="dxa"/>
              <w:start w:w="100" w:type="dxa"/>
              <w:bottom w:w="80" w:type="dxa"/>
              <w:end w:w="100" w:type="dxa"/>
            </w:tcMar>
            <w:vAlign w:val="center"/>
            <w:shd w:fill="FFFFFF"/>
          </w:tcPr>
          <w:p>
            <w:pPr>
              <w:spacing w:after="0"/>
            </w:pPr>
            <w:r/>
            <w:r>
              <w:rPr>
                <w:rFonts w:ascii="Aptos" w:hAnsi="Aptos"/>
                <w:b w:val="0"/>
                <w:color w:val="222222"/>
                <w:sz w:val="14"/>
              </w:rPr>
              <w:t>AI system definition guidelines provide Commission interpretation of what qualifies as an AI system.</w:t>
            </w:r>
          </w:p>
        </w:tc>
        <w:tc>
          <w:tcPr>
            <w:tcW w:type="dxa" w:w="2448"/>
            <w:tcMar>
              <w:top w:w="80" w:type="dxa"/>
              <w:start w:w="100" w:type="dxa"/>
              <w:bottom w:w="80" w:type="dxa"/>
              <w:end w:w="100" w:type="dxa"/>
            </w:tcMar>
            <w:vAlign w:val="center"/>
            <w:shd w:fill="FFFFFF"/>
          </w:tcPr>
          <w:p>
            <w:pPr>
              <w:spacing w:after="0"/>
            </w:pPr>
            <w:r/>
            <w:r>
              <w:rPr>
                <w:rFonts w:ascii="Aptos" w:hAnsi="Aptos"/>
                <w:b w:val="0"/>
                <w:color w:val="222222"/>
                <w:sz w:val="14"/>
              </w:rPr>
              <w:t>Commission AI system definition guidelines | S09</w:t>
            </w:r>
          </w:p>
        </w:tc>
        <w:tc>
          <w:tcPr>
            <w:tcW w:type="dxa" w:w="2520"/>
            <w:tcMar>
              <w:top w:w="80" w:type="dxa"/>
              <w:start w:w="100" w:type="dxa"/>
              <w:bottom w:w="80" w:type="dxa"/>
              <w:end w:w="100" w:type="dxa"/>
            </w:tcMar>
            <w:vAlign w:val="center"/>
            <w:shd w:fill="FFFFFF"/>
          </w:tcPr>
          <w:p>
            <w:pPr>
              <w:spacing w:after="0"/>
            </w:pPr>
            <w:r/>
            <w:r>
              <w:rPr>
                <w:rFonts w:ascii="Aptos" w:hAnsi="Aptos"/>
                <w:b w:val="0"/>
                <w:color w:val="222222"/>
                <w:sz w:val="14"/>
              </w:rPr>
              <w:t>Use at intake to prevent over- or under-scoping. The Commission identifies the guidelines as non-binding and evolving. | Systems: All systems</w:t>
            </w:r>
          </w:p>
        </w:tc>
      </w:tr>
      <w:tr>
        <w:tc>
          <w:tcPr>
            <w:tcW w:type="dxa" w:w="792"/>
            <w:tcMar>
              <w:top w:w="80" w:type="dxa"/>
              <w:start w:w="100" w:type="dxa"/>
              <w:bottom w:w="80" w:type="dxa"/>
              <w:end w:w="100" w:type="dxa"/>
            </w:tcMar>
            <w:vAlign w:val="center"/>
            <w:shd w:fill="F5F7F9"/>
          </w:tcPr>
          <w:p>
            <w:pPr>
              <w:spacing w:after="0"/>
            </w:pPr>
            <w:r/>
            <w:r>
              <w:rPr>
                <w:rFonts w:ascii="Aptos" w:hAnsi="Aptos"/>
                <w:b w:val="0"/>
                <w:color w:val="222222"/>
                <w:sz w:val="14"/>
              </w:rPr>
              <w:t>G-02</w:t>
            </w:r>
          </w:p>
        </w:tc>
        <w:tc>
          <w:tcPr>
            <w:tcW w:type="dxa" w:w="1512"/>
            <w:tcMar>
              <w:top w:w="80" w:type="dxa"/>
              <w:start w:w="100" w:type="dxa"/>
              <w:bottom w:w="80" w:type="dxa"/>
              <w:end w:w="100" w:type="dxa"/>
            </w:tcMar>
            <w:vAlign w:val="center"/>
            <w:shd w:fill="F5F7F9"/>
          </w:tcPr>
          <w:p>
            <w:pPr>
              <w:spacing w:after="0"/>
            </w:pPr>
            <w:r/>
            <w:r>
              <w:rPr>
                <w:rFonts w:ascii="Aptos" w:hAnsi="Aptos"/>
                <w:b w:val="0"/>
                <w:color w:val="222222"/>
                <w:sz w:val="14"/>
              </w:rPr>
              <w:t>Official non-binding guidance</w:t>
            </w:r>
          </w:p>
        </w:tc>
        <w:tc>
          <w:tcPr>
            <w:tcW w:type="dxa" w:w="3384"/>
            <w:tcMar>
              <w:top w:w="80" w:type="dxa"/>
              <w:start w:w="100" w:type="dxa"/>
              <w:bottom w:w="80" w:type="dxa"/>
              <w:end w:w="100" w:type="dxa"/>
            </w:tcMar>
            <w:vAlign w:val="center"/>
            <w:shd w:fill="F5F7F9"/>
          </w:tcPr>
          <w:p>
            <w:pPr>
              <w:spacing w:after="0"/>
            </w:pPr>
            <w:r/>
            <w:r>
              <w:rPr>
                <w:rFonts w:ascii="Aptos" w:hAnsi="Aptos"/>
                <w:b w:val="0"/>
                <w:color w:val="222222"/>
                <w:sz w:val="14"/>
              </w:rPr>
              <w:t>Prohibited-practices guidelines provide practical examples and legal interpretation for Article 5.</w:t>
            </w:r>
          </w:p>
        </w:tc>
        <w:tc>
          <w:tcPr>
            <w:tcW w:type="dxa" w:w="2448"/>
            <w:tcMar>
              <w:top w:w="80" w:type="dxa"/>
              <w:start w:w="100" w:type="dxa"/>
              <w:bottom w:w="80" w:type="dxa"/>
              <w:end w:w="100" w:type="dxa"/>
            </w:tcMar>
            <w:vAlign w:val="center"/>
            <w:shd w:fill="F5F7F9"/>
          </w:tcPr>
          <w:p>
            <w:pPr>
              <w:spacing w:after="0"/>
            </w:pPr>
            <w:r/>
            <w:r>
              <w:rPr>
                <w:rFonts w:ascii="Aptos" w:hAnsi="Aptos"/>
                <w:b w:val="0"/>
                <w:color w:val="222222"/>
                <w:sz w:val="14"/>
              </w:rPr>
              <w:t>Commission prohibited AI practices guidelines | S08</w:t>
            </w:r>
          </w:p>
        </w:tc>
        <w:tc>
          <w:tcPr>
            <w:tcW w:type="dxa" w:w="2520"/>
            <w:tcMar>
              <w:top w:w="80" w:type="dxa"/>
              <w:start w:w="100" w:type="dxa"/>
              <w:bottom w:w="80" w:type="dxa"/>
              <w:end w:w="100" w:type="dxa"/>
            </w:tcMar>
            <w:vAlign w:val="center"/>
            <w:shd w:fill="F5F7F9"/>
          </w:tcPr>
          <w:p>
            <w:pPr>
              <w:spacing w:after="0"/>
            </w:pPr>
            <w:r/>
            <w:r>
              <w:rPr>
                <w:rFonts w:ascii="Aptos" w:hAnsi="Aptos"/>
                <w:b w:val="0"/>
                <w:color w:val="222222"/>
                <w:sz w:val="14"/>
              </w:rPr>
              <w:t>Use in prohibited-practice screening; authoritative interpretation ultimately belongs to courts. | Systems: All systems</w:t>
            </w:r>
          </w:p>
        </w:tc>
      </w:tr>
      <w:tr>
        <w:tc>
          <w:tcPr>
            <w:tcW w:type="dxa" w:w="792"/>
            <w:tcMar>
              <w:top w:w="80" w:type="dxa"/>
              <w:start w:w="100" w:type="dxa"/>
              <w:bottom w:w="80" w:type="dxa"/>
              <w:end w:w="100" w:type="dxa"/>
            </w:tcMar>
            <w:vAlign w:val="center"/>
            <w:shd w:fill="FFFFFF"/>
          </w:tcPr>
          <w:p>
            <w:pPr>
              <w:spacing w:after="0"/>
            </w:pPr>
            <w:r/>
            <w:r>
              <w:rPr>
                <w:rFonts w:ascii="Aptos" w:hAnsi="Aptos"/>
                <w:b w:val="0"/>
                <w:color w:val="222222"/>
                <w:sz w:val="14"/>
              </w:rPr>
              <w:t>G-03</w:t>
            </w:r>
          </w:p>
        </w:tc>
        <w:tc>
          <w:tcPr>
            <w:tcW w:type="dxa" w:w="1512"/>
            <w:tcMar>
              <w:top w:w="80" w:type="dxa"/>
              <w:start w:w="100" w:type="dxa"/>
              <w:bottom w:w="80" w:type="dxa"/>
              <w:end w:w="100" w:type="dxa"/>
            </w:tcMar>
            <w:vAlign w:val="center"/>
            <w:shd w:fill="FFFFFF"/>
          </w:tcPr>
          <w:p>
            <w:pPr>
              <w:spacing w:after="0"/>
            </w:pPr>
            <w:r/>
            <w:r>
              <w:rPr>
                <w:rFonts w:ascii="Aptos" w:hAnsi="Aptos"/>
                <w:b w:val="0"/>
                <w:color w:val="222222"/>
                <w:sz w:val="14"/>
              </w:rPr>
              <w:t>Official guidance supporting binding law</w:t>
            </w:r>
          </w:p>
        </w:tc>
        <w:tc>
          <w:tcPr>
            <w:tcW w:type="dxa" w:w="3384"/>
            <w:tcMar>
              <w:top w:w="80" w:type="dxa"/>
              <w:start w:w="100" w:type="dxa"/>
              <w:bottom w:w="80" w:type="dxa"/>
              <w:end w:w="100" w:type="dxa"/>
            </w:tcMar>
            <w:vAlign w:val="center"/>
            <w:shd w:fill="FFFFFF"/>
          </w:tcPr>
          <w:p>
            <w:pPr>
              <w:spacing w:after="0"/>
            </w:pPr>
            <w:r/>
            <w:r>
              <w:rPr>
                <w:rFonts w:ascii="Aptos" w:hAnsi="Aptos"/>
                <w:b w:val="0"/>
                <w:color w:val="222222"/>
                <w:sz w:val="14"/>
              </w:rPr>
              <w:t>Final Article 50 transparency guidelines are the principal current Commission interpretation of transparency duties.</w:t>
            </w:r>
          </w:p>
        </w:tc>
        <w:tc>
          <w:tcPr>
            <w:tcW w:type="dxa" w:w="2448"/>
            <w:tcMar>
              <w:top w:w="80" w:type="dxa"/>
              <w:start w:w="100" w:type="dxa"/>
              <w:bottom w:w="80" w:type="dxa"/>
              <w:end w:w="100" w:type="dxa"/>
            </w:tcMar>
            <w:vAlign w:val="center"/>
            <w:shd w:fill="FFFFFF"/>
          </w:tcPr>
          <w:p>
            <w:pPr>
              <w:spacing w:after="0"/>
            </w:pPr>
            <w:r/>
            <w:r>
              <w:rPr>
                <w:rFonts w:ascii="Aptos" w:hAnsi="Aptos"/>
                <w:b w:val="0"/>
                <w:color w:val="222222"/>
                <w:sz w:val="14"/>
              </w:rPr>
              <w:t>Commission Art. 50 guidelines | S05</w:t>
            </w:r>
          </w:p>
        </w:tc>
        <w:tc>
          <w:tcPr>
            <w:tcW w:type="dxa" w:w="2520"/>
            <w:tcMar>
              <w:top w:w="80" w:type="dxa"/>
              <w:start w:w="100" w:type="dxa"/>
              <w:bottom w:w="80" w:type="dxa"/>
              <w:end w:w="100" w:type="dxa"/>
            </w:tcMar>
            <w:vAlign w:val="center"/>
            <w:shd w:fill="FFFFFF"/>
          </w:tcPr>
          <w:p>
            <w:pPr>
              <w:spacing w:after="0"/>
            </w:pPr>
            <w:r/>
            <w:r>
              <w:rPr>
                <w:rFonts w:ascii="Aptos" w:hAnsi="Aptos"/>
                <w:b w:val="0"/>
                <w:color w:val="222222"/>
                <w:sz w:val="14"/>
              </w:rPr>
              <w:t>Apply to QuackBot first, then assess PondGPT and other generative systems by role and output type. | Systems: QuackBot; PondGPT; DuckDesign where relevant</w:t>
            </w:r>
          </w:p>
        </w:tc>
      </w:tr>
      <w:tr>
        <w:tc>
          <w:tcPr>
            <w:tcW w:type="dxa" w:w="792"/>
            <w:tcMar>
              <w:top w:w="80" w:type="dxa"/>
              <w:start w:w="100" w:type="dxa"/>
              <w:bottom w:w="80" w:type="dxa"/>
              <w:end w:w="100" w:type="dxa"/>
            </w:tcMar>
            <w:vAlign w:val="center"/>
            <w:shd w:fill="F5F7F9"/>
          </w:tcPr>
          <w:p>
            <w:pPr>
              <w:spacing w:after="0"/>
            </w:pPr>
            <w:r/>
            <w:r>
              <w:rPr>
                <w:rFonts w:ascii="Aptos" w:hAnsi="Aptos"/>
                <w:b w:val="0"/>
                <w:color w:val="222222"/>
                <w:sz w:val="14"/>
              </w:rPr>
              <w:t>G-04</w:t>
            </w:r>
          </w:p>
        </w:tc>
        <w:tc>
          <w:tcPr>
            <w:tcW w:type="dxa" w:w="1512"/>
            <w:tcMar>
              <w:top w:w="80" w:type="dxa"/>
              <w:start w:w="100" w:type="dxa"/>
              <w:bottom w:w="80" w:type="dxa"/>
              <w:end w:w="100" w:type="dxa"/>
            </w:tcMar>
            <w:vAlign w:val="center"/>
            <w:shd w:fill="F5F7F9"/>
          </w:tcPr>
          <w:p>
            <w:pPr>
              <w:spacing w:after="0"/>
            </w:pPr>
            <w:r/>
            <w:r>
              <w:rPr>
                <w:rFonts w:ascii="Aptos" w:hAnsi="Aptos"/>
                <w:b w:val="0"/>
                <w:color w:val="222222"/>
                <w:sz w:val="14"/>
              </w:rPr>
              <w:t>Draft official guidance</w:t>
            </w:r>
          </w:p>
        </w:tc>
        <w:tc>
          <w:tcPr>
            <w:tcW w:type="dxa" w:w="3384"/>
            <w:tcMar>
              <w:top w:w="80" w:type="dxa"/>
              <w:start w:w="100" w:type="dxa"/>
              <w:bottom w:w="80" w:type="dxa"/>
              <w:end w:w="100" w:type="dxa"/>
            </w:tcMar>
            <w:vAlign w:val="center"/>
            <w:shd w:fill="F5F7F9"/>
          </w:tcPr>
          <w:p>
            <w:pPr>
              <w:spacing w:after="0"/>
            </w:pPr>
            <w:r/>
            <w:r>
              <w:rPr>
                <w:rFonts w:ascii="Aptos" w:hAnsi="Aptos"/>
                <w:b w:val="0"/>
                <w:color w:val="222222"/>
                <w:sz w:val="14"/>
              </w:rPr>
              <w:t>Commission high-risk classification guidelines remain draft and should be labelled as such.</w:t>
            </w:r>
          </w:p>
        </w:tc>
        <w:tc>
          <w:tcPr>
            <w:tcW w:type="dxa" w:w="2448"/>
            <w:tcMar>
              <w:top w:w="80" w:type="dxa"/>
              <w:start w:w="100" w:type="dxa"/>
              <w:bottom w:w="80" w:type="dxa"/>
              <w:end w:w="100" w:type="dxa"/>
            </w:tcMar>
            <w:vAlign w:val="center"/>
            <w:shd w:fill="F5F7F9"/>
          </w:tcPr>
          <w:p>
            <w:pPr>
              <w:spacing w:after="0"/>
            </w:pPr>
            <w:r/>
            <w:r>
              <w:rPr>
                <w:rFonts w:ascii="Aptos" w:hAnsi="Aptos"/>
                <w:b w:val="0"/>
                <w:color w:val="222222"/>
                <w:sz w:val="14"/>
              </w:rPr>
              <w:t>Draft high-risk classification guidelines | S07</w:t>
            </w:r>
          </w:p>
        </w:tc>
        <w:tc>
          <w:tcPr>
            <w:tcW w:type="dxa" w:w="2520"/>
            <w:tcMar>
              <w:top w:w="80" w:type="dxa"/>
              <w:start w:w="100" w:type="dxa"/>
              <w:bottom w:w="80" w:type="dxa"/>
              <w:end w:w="100" w:type="dxa"/>
            </w:tcMar>
            <w:vAlign w:val="center"/>
            <w:shd w:fill="F5F7F9"/>
          </w:tcPr>
          <w:p>
            <w:pPr>
              <w:spacing w:after="0"/>
            </w:pPr>
            <w:r/>
            <w:r>
              <w:rPr>
                <w:rFonts w:ascii="Aptos" w:hAnsi="Aptos"/>
                <w:b w:val="0"/>
                <w:color w:val="222222"/>
                <w:sz w:val="14"/>
              </w:rPr>
              <w:t>Useful for DuckTalent and the product-safety route, but should not be treated as binding law or final guidance. | Systems: DuckTalent; DuckDesign; WingInspect</w:t>
            </w:r>
          </w:p>
        </w:tc>
      </w:tr>
      <w:tr>
        <w:tc>
          <w:tcPr>
            <w:tcW w:type="dxa" w:w="792"/>
            <w:tcMar>
              <w:top w:w="80" w:type="dxa"/>
              <w:start w:w="100" w:type="dxa"/>
              <w:bottom w:w="80" w:type="dxa"/>
              <w:end w:w="100" w:type="dxa"/>
            </w:tcMar>
            <w:vAlign w:val="center"/>
            <w:shd w:fill="FFFFFF"/>
          </w:tcPr>
          <w:p>
            <w:pPr>
              <w:spacing w:after="0"/>
            </w:pPr>
            <w:r/>
            <w:r>
              <w:rPr>
                <w:rFonts w:ascii="Aptos" w:hAnsi="Aptos"/>
                <w:b w:val="0"/>
                <w:color w:val="222222"/>
                <w:sz w:val="14"/>
              </w:rPr>
              <w:t>G-05</w:t>
            </w:r>
          </w:p>
        </w:tc>
        <w:tc>
          <w:tcPr>
            <w:tcW w:type="dxa" w:w="1512"/>
            <w:tcMar>
              <w:top w:w="80" w:type="dxa"/>
              <w:start w:w="100" w:type="dxa"/>
              <w:bottom w:w="80" w:type="dxa"/>
              <w:end w:w="100" w:type="dxa"/>
            </w:tcMar>
            <w:vAlign w:val="center"/>
            <w:shd w:fill="FFFFFF"/>
          </w:tcPr>
          <w:p>
            <w:pPr>
              <w:spacing w:after="0"/>
            </w:pPr>
            <w:r/>
            <w:r>
              <w:rPr>
                <w:rFonts w:ascii="Aptos" w:hAnsi="Aptos"/>
                <w:b w:val="0"/>
                <w:color w:val="222222"/>
                <w:sz w:val="14"/>
              </w:rPr>
              <w:t>Official practical guidance</w:t>
            </w:r>
          </w:p>
        </w:tc>
        <w:tc>
          <w:tcPr>
            <w:tcW w:type="dxa" w:w="3384"/>
            <w:tcMar>
              <w:top w:w="80" w:type="dxa"/>
              <w:start w:w="100" w:type="dxa"/>
              <w:bottom w:w="80" w:type="dxa"/>
              <w:end w:w="100" w:type="dxa"/>
            </w:tcMar>
            <w:vAlign w:val="center"/>
            <w:shd w:fill="FFFFFF"/>
          </w:tcPr>
          <w:p>
            <w:pPr>
              <w:spacing w:after="0"/>
            </w:pPr>
            <w:r/>
            <w:r>
              <w:rPr>
                <w:rFonts w:ascii="Aptos" w:hAnsi="Aptos"/>
                <w:b w:val="0"/>
                <w:color w:val="222222"/>
                <w:sz w:val="14"/>
              </w:rPr>
              <w:t>Commission AI literacy Q&amp;A supports a risk- and role-based literacy programme and confirms no fixed certificate or governance structure is required.</w:t>
            </w:r>
          </w:p>
        </w:tc>
        <w:tc>
          <w:tcPr>
            <w:tcW w:type="dxa" w:w="2448"/>
            <w:tcMar>
              <w:top w:w="80" w:type="dxa"/>
              <w:start w:w="100" w:type="dxa"/>
              <w:bottom w:w="80" w:type="dxa"/>
              <w:end w:w="100" w:type="dxa"/>
            </w:tcMar>
            <w:vAlign w:val="center"/>
            <w:shd w:fill="FFFFFF"/>
          </w:tcPr>
          <w:p>
            <w:pPr>
              <w:spacing w:after="0"/>
            </w:pPr>
            <w:r/>
            <w:r>
              <w:rPr>
                <w:rFonts w:ascii="Aptos" w:hAnsi="Aptos"/>
                <w:b w:val="0"/>
                <w:color w:val="222222"/>
                <w:sz w:val="14"/>
              </w:rPr>
              <w:t>AI Literacy Q&amp;A | S04</w:t>
            </w:r>
          </w:p>
        </w:tc>
        <w:tc>
          <w:tcPr>
            <w:tcW w:type="dxa" w:w="2520"/>
            <w:tcMar>
              <w:top w:w="80" w:type="dxa"/>
              <w:start w:w="100" w:type="dxa"/>
              <w:bottom w:w="80" w:type="dxa"/>
              <w:end w:w="100" w:type="dxa"/>
            </w:tcMar>
            <w:vAlign w:val="center"/>
            <w:shd w:fill="FFFFFF"/>
          </w:tcPr>
          <w:p>
            <w:pPr>
              <w:spacing w:after="0"/>
            </w:pPr>
            <w:r/>
            <w:r>
              <w:rPr>
                <w:rFonts w:ascii="Aptos" w:hAnsi="Aptos"/>
                <w:b w:val="0"/>
                <w:color w:val="222222"/>
                <w:sz w:val="14"/>
              </w:rPr>
              <w:t>Use to design role-based training, guidance and recordkeeping. | Systems: All systems; shadow AI</w:t>
            </w:r>
          </w:p>
        </w:tc>
      </w:tr>
      <w:tr>
        <w:tc>
          <w:tcPr>
            <w:tcW w:type="dxa" w:w="792"/>
            <w:tcMar>
              <w:top w:w="80" w:type="dxa"/>
              <w:start w:w="100" w:type="dxa"/>
              <w:bottom w:w="80" w:type="dxa"/>
              <w:end w:w="100" w:type="dxa"/>
            </w:tcMar>
            <w:vAlign w:val="center"/>
            <w:shd w:fill="F5F7F9"/>
          </w:tcPr>
          <w:p>
            <w:pPr>
              <w:spacing w:after="0"/>
            </w:pPr>
            <w:r/>
            <w:r>
              <w:rPr>
                <w:rFonts w:ascii="Aptos" w:hAnsi="Aptos"/>
                <w:b w:val="0"/>
                <w:color w:val="222222"/>
                <w:sz w:val="14"/>
              </w:rPr>
              <w:t>G-06</w:t>
            </w:r>
          </w:p>
        </w:tc>
        <w:tc>
          <w:tcPr>
            <w:tcW w:type="dxa" w:w="1512"/>
            <w:tcMar>
              <w:top w:w="80" w:type="dxa"/>
              <w:start w:w="100" w:type="dxa"/>
              <w:bottom w:w="80" w:type="dxa"/>
              <w:end w:w="100" w:type="dxa"/>
            </w:tcMar>
            <w:vAlign w:val="center"/>
            <w:shd w:fill="F5F7F9"/>
          </w:tcPr>
          <w:p>
            <w:pPr>
              <w:spacing w:after="0"/>
            </w:pPr>
            <w:r/>
            <w:r>
              <w:rPr>
                <w:rFonts w:ascii="Aptos" w:hAnsi="Aptos"/>
                <w:b w:val="0"/>
                <w:color w:val="222222"/>
                <w:sz w:val="14"/>
              </w:rPr>
              <w:t>Voluntary compliance tool linked to binding law</w:t>
            </w:r>
          </w:p>
        </w:tc>
        <w:tc>
          <w:tcPr>
            <w:tcW w:type="dxa" w:w="3384"/>
            <w:tcMar>
              <w:top w:w="80" w:type="dxa"/>
              <w:start w:w="100" w:type="dxa"/>
              <w:bottom w:w="80" w:type="dxa"/>
              <w:end w:w="100" w:type="dxa"/>
            </w:tcMar>
            <w:vAlign w:val="center"/>
            <w:shd w:fill="F5F7F9"/>
          </w:tcPr>
          <w:p>
            <w:pPr>
              <w:spacing w:after="0"/>
            </w:pPr>
            <w:r/>
            <w:r>
              <w:rPr>
                <w:rFonts w:ascii="Aptos" w:hAnsi="Aptos"/>
                <w:b w:val="0"/>
                <w:color w:val="222222"/>
                <w:sz w:val="14"/>
              </w:rPr>
              <w:t>The Transparency Code of Practice is voluntary but can be used by signatories to demonstrate compliance with specified Article 50 marking/labelling duties.</w:t>
            </w:r>
          </w:p>
        </w:tc>
        <w:tc>
          <w:tcPr>
            <w:tcW w:type="dxa" w:w="2448"/>
            <w:tcMar>
              <w:top w:w="80" w:type="dxa"/>
              <w:start w:w="100" w:type="dxa"/>
              <w:bottom w:w="80" w:type="dxa"/>
              <w:end w:w="100" w:type="dxa"/>
            </w:tcMar>
            <w:vAlign w:val="center"/>
            <w:shd w:fill="F5F7F9"/>
          </w:tcPr>
          <w:p>
            <w:pPr>
              <w:spacing w:after="0"/>
            </w:pPr>
            <w:r/>
            <w:r>
              <w:rPr>
                <w:rFonts w:ascii="Aptos" w:hAnsi="Aptos"/>
                <w:b w:val="0"/>
                <w:color w:val="222222"/>
                <w:sz w:val="14"/>
              </w:rPr>
              <w:t>Transparency Code of Practice | S06</w:t>
            </w:r>
          </w:p>
        </w:tc>
        <w:tc>
          <w:tcPr>
            <w:tcW w:type="dxa" w:w="2520"/>
            <w:tcMar>
              <w:top w:w="80" w:type="dxa"/>
              <w:start w:w="100" w:type="dxa"/>
              <w:bottom w:w="80" w:type="dxa"/>
              <w:end w:w="100" w:type="dxa"/>
            </w:tcMar>
            <w:vAlign w:val="center"/>
            <w:shd w:fill="F5F7F9"/>
          </w:tcPr>
          <w:p>
            <w:pPr>
              <w:spacing w:after="0"/>
            </w:pPr>
            <w:r/>
            <w:r>
              <w:rPr>
                <w:rFonts w:ascii="Aptos" w:hAnsi="Aptos"/>
                <w:b w:val="0"/>
                <w:color w:val="222222"/>
                <w:sz w:val="14"/>
              </w:rPr>
              <w:t>Relevant only where covered provider/deployer transparency duties arise; it does not replace the AI Act or final guidelines. | Systems: Generative systems where Article 50(2)/(4)/(5) applies</w:t>
            </w:r>
          </w:p>
        </w:tc>
      </w:tr>
      <w:tr>
        <w:tc>
          <w:tcPr>
            <w:tcW w:type="dxa" w:w="792"/>
            <w:tcMar>
              <w:top w:w="80" w:type="dxa"/>
              <w:start w:w="100" w:type="dxa"/>
              <w:bottom w:w="80" w:type="dxa"/>
              <w:end w:w="100" w:type="dxa"/>
            </w:tcMar>
            <w:vAlign w:val="center"/>
            <w:shd w:fill="FFFFFF"/>
          </w:tcPr>
          <w:p>
            <w:pPr>
              <w:spacing w:after="0"/>
            </w:pPr>
            <w:r/>
            <w:r>
              <w:rPr>
                <w:rFonts w:ascii="Aptos" w:hAnsi="Aptos"/>
                <w:b w:val="0"/>
                <w:color w:val="222222"/>
                <w:sz w:val="14"/>
              </w:rPr>
              <w:t>G-07</w:t>
            </w:r>
          </w:p>
        </w:tc>
        <w:tc>
          <w:tcPr>
            <w:tcW w:type="dxa" w:w="1512"/>
            <w:tcMar>
              <w:top w:w="80" w:type="dxa"/>
              <w:start w:w="100" w:type="dxa"/>
              <w:bottom w:w="80" w:type="dxa"/>
              <w:end w:w="100" w:type="dxa"/>
            </w:tcMar>
            <w:vAlign w:val="center"/>
            <w:shd w:fill="FFFFFF"/>
          </w:tcPr>
          <w:p>
            <w:pPr>
              <w:spacing w:after="0"/>
            </w:pPr>
            <w:r/>
            <w:r>
              <w:rPr>
                <w:rFonts w:ascii="Aptos" w:hAnsi="Aptos"/>
                <w:b w:val="0"/>
                <w:color w:val="222222"/>
                <w:sz w:val="14"/>
              </w:rPr>
              <w:t>Regulatory guidance</w:t>
            </w:r>
          </w:p>
        </w:tc>
        <w:tc>
          <w:tcPr>
            <w:tcW w:type="dxa" w:w="3384"/>
            <w:tcMar>
              <w:top w:w="80" w:type="dxa"/>
              <w:start w:w="100" w:type="dxa"/>
              <w:bottom w:w="80" w:type="dxa"/>
              <w:end w:w="100" w:type="dxa"/>
            </w:tcMar>
            <w:vAlign w:val="center"/>
            <w:shd w:fill="FFFFFF"/>
          </w:tcPr>
          <w:p>
            <w:pPr>
              <w:spacing w:after="0"/>
            </w:pPr>
            <w:r/>
            <w:r>
              <w:rPr>
                <w:rFonts w:ascii="Aptos" w:hAnsi="Aptos"/>
                <w:b w:val="0"/>
                <w:color w:val="222222"/>
                <w:sz w:val="14"/>
              </w:rPr>
              <w:t>EDPB automated decision-making guidance remains important for interpreting meaningful human involvement and profiling under GDPR.</w:t>
            </w:r>
          </w:p>
        </w:tc>
        <w:tc>
          <w:tcPr>
            <w:tcW w:type="dxa" w:w="2448"/>
            <w:tcMar>
              <w:top w:w="80" w:type="dxa"/>
              <w:start w:w="100" w:type="dxa"/>
              <w:bottom w:w="80" w:type="dxa"/>
              <w:end w:w="100" w:type="dxa"/>
            </w:tcMar>
            <w:vAlign w:val="center"/>
            <w:shd w:fill="FFFFFF"/>
          </w:tcPr>
          <w:p>
            <w:pPr>
              <w:spacing w:after="0"/>
            </w:pPr>
            <w:r/>
            <w:r>
              <w:rPr>
                <w:rFonts w:ascii="Aptos" w:hAnsi="Aptos"/>
                <w:b w:val="0"/>
                <w:color w:val="222222"/>
                <w:sz w:val="14"/>
              </w:rPr>
              <w:t>EDPB/WP29 automated decision-making guidance | S11</w:t>
            </w:r>
          </w:p>
        </w:tc>
        <w:tc>
          <w:tcPr>
            <w:tcW w:type="dxa" w:w="2520"/>
            <w:tcMar>
              <w:top w:w="80" w:type="dxa"/>
              <w:start w:w="100" w:type="dxa"/>
              <w:bottom w:w="80" w:type="dxa"/>
              <w:end w:w="100" w:type="dxa"/>
            </w:tcMar>
            <w:vAlign w:val="center"/>
            <w:shd w:fill="FFFFFF"/>
          </w:tcPr>
          <w:p>
            <w:pPr>
              <w:spacing w:after="0"/>
            </w:pPr>
            <w:r/>
            <w:r>
              <w:rPr>
                <w:rFonts w:ascii="Aptos" w:hAnsi="Aptos"/>
                <w:b w:val="0"/>
                <w:color w:val="222222"/>
                <w:sz w:val="14"/>
              </w:rPr>
              <w:t>Key for DuckTalent Article 22 analysis and human-review design. | Systems: DuckTalent</w:t>
            </w:r>
          </w:p>
        </w:tc>
      </w:tr>
      <w:tr>
        <w:tc>
          <w:tcPr>
            <w:tcW w:type="dxa" w:w="792"/>
            <w:tcMar>
              <w:top w:w="80" w:type="dxa"/>
              <w:start w:w="100" w:type="dxa"/>
              <w:bottom w:w="80" w:type="dxa"/>
              <w:end w:w="100" w:type="dxa"/>
            </w:tcMar>
            <w:vAlign w:val="center"/>
            <w:shd w:fill="F5F7F9"/>
          </w:tcPr>
          <w:p>
            <w:pPr>
              <w:spacing w:after="0"/>
            </w:pPr>
            <w:r/>
            <w:r>
              <w:rPr>
                <w:rFonts w:ascii="Aptos" w:hAnsi="Aptos"/>
                <w:b w:val="0"/>
                <w:color w:val="222222"/>
                <w:sz w:val="14"/>
              </w:rPr>
              <w:t>G-08</w:t>
            </w:r>
          </w:p>
        </w:tc>
        <w:tc>
          <w:tcPr>
            <w:tcW w:type="dxa" w:w="1512"/>
            <w:tcMar>
              <w:top w:w="80" w:type="dxa"/>
              <w:start w:w="100" w:type="dxa"/>
              <w:bottom w:w="80" w:type="dxa"/>
              <w:end w:w="100" w:type="dxa"/>
            </w:tcMar>
            <w:vAlign w:val="center"/>
            <w:shd w:fill="F5F7F9"/>
          </w:tcPr>
          <w:p>
            <w:pPr>
              <w:spacing w:after="0"/>
            </w:pPr>
            <w:r/>
            <w:r>
              <w:rPr>
                <w:rFonts w:ascii="Aptos" w:hAnsi="Aptos"/>
                <w:b w:val="0"/>
                <w:color w:val="222222"/>
                <w:sz w:val="14"/>
              </w:rPr>
              <w:t>Regulatory opinion</w:t>
            </w:r>
          </w:p>
        </w:tc>
        <w:tc>
          <w:tcPr>
            <w:tcW w:type="dxa" w:w="3384"/>
            <w:tcMar>
              <w:top w:w="80" w:type="dxa"/>
              <w:start w:w="100" w:type="dxa"/>
              <w:bottom w:w="80" w:type="dxa"/>
              <w:end w:w="100" w:type="dxa"/>
            </w:tcMar>
            <w:vAlign w:val="center"/>
            <w:shd w:fill="F5F7F9"/>
          </w:tcPr>
          <w:p>
            <w:pPr>
              <w:spacing w:after="0"/>
            </w:pPr>
            <w:r/>
            <w:r>
              <w:rPr>
                <w:rFonts w:ascii="Aptos" w:hAnsi="Aptos"/>
                <w:b w:val="0"/>
                <w:color w:val="222222"/>
                <w:sz w:val="14"/>
              </w:rPr>
              <w:t>EDPB Opinion 28/2024 addresses anonymity, legitimate interest and consequences of unlawful personal-data processing in AI model development/deployment.</w:t>
            </w:r>
          </w:p>
        </w:tc>
        <w:tc>
          <w:tcPr>
            <w:tcW w:type="dxa" w:w="2448"/>
            <w:tcMar>
              <w:top w:w="80" w:type="dxa"/>
              <w:start w:w="100" w:type="dxa"/>
              <w:bottom w:w="80" w:type="dxa"/>
              <w:end w:w="100" w:type="dxa"/>
            </w:tcMar>
            <w:vAlign w:val="center"/>
            <w:shd w:fill="F5F7F9"/>
          </w:tcPr>
          <w:p>
            <w:pPr>
              <w:spacing w:after="0"/>
            </w:pPr>
            <w:r/>
            <w:r>
              <w:rPr>
                <w:rFonts w:ascii="Aptos" w:hAnsi="Aptos"/>
                <w:b w:val="0"/>
                <w:color w:val="222222"/>
                <w:sz w:val="14"/>
              </w:rPr>
              <w:t>EDPB Opinion 28/2024 | S13</w:t>
            </w:r>
          </w:p>
        </w:tc>
        <w:tc>
          <w:tcPr>
            <w:tcW w:type="dxa" w:w="2520"/>
            <w:tcMar>
              <w:top w:w="80" w:type="dxa"/>
              <w:start w:w="100" w:type="dxa"/>
              <w:bottom w:w="80" w:type="dxa"/>
              <w:end w:w="100" w:type="dxa"/>
            </w:tcMar>
            <w:vAlign w:val="center"/>
            <w:shd w:fill="F5F7F9"/>
          </w:tcPr>
          <w:p>
            <w:pPr>
              <w:spacing w:after="0"/>
            </w:pPr>
            <w:r/>
            <w:r>
              <w:rPr>
                <w:rFonts w:ascii="Aptos" w:hAnsi="Aptos"/>
                <w:b w:val="0"/>
                <w:color w:val="222222"/>
                <w:sz w:val="14"/>
              </w:rPr>
              <w:t>Useful for third-party model diligence and any Duckworks model-development/deployment involving personal data. | Systems: DuckTalent; PondGPT; QuackBot; shadow AI as applicable</w:t>
            </w:r>
          </w:p>
        </w:tc>
      </w:tr>
      <w:tr>
        <w:tc>
          <w:tcPr>
            <w:tcW w:type="dxa" w:w="792"/>
            <w:tcMar>
              <w:top w:w="80" w:type="dxa"/>
              <w:start w:w="100" w:type="dxa"/>
              <w:bottom w:w="80" w:type="dxa"/>
              <w:end w:w="100" w:type="dxa"/>
            </w:tcMar>
            <w:vAlign w:val="center"/>
            <w:shd w:fill="FFFFFF"/>
          </w:tcPr>
          <w:p>
            <w:pPr>
              <w:spacing w:after="0"/>
            </w:pPr>
            <w:r/>
            <w:r>
              <w:rPr>
                <w:rFonts w:ascii="Aptos" w:hAnsi="Aptos"/>
                <w:b w:val="0"/>
                <w:color w:val="222222"/>
                <w:sz w:val="14"/>
              </w:rPr>
              <w:t>G-09</w:t>
            </w:r>
          </w:p>
        </w:tc>
        <w:tc>
          <w:tcPr>
            <w:tcW w:type="dxa" w:w="1512"/>
            <w:tcMar>
              <w:top w:w="80" w:type="dxa"/>
              <w:start w:w="100" w:type="dxa"/>
              <w:bottom w:w="80" w:type="dxa"/>
              <w:end w:w="100" w:type="dxa"/>
            </w:tcMar>
            <w:vAlign w:val="center"/>
            <w:shd w:fill="FFFFFF"/>
          </w:tcPr>
          <w:p>
            <w:pPr>
              <w:spacing w:after="0"/>
            </w:pPr>
            <w:r/>
            <w:r>
              <w:rPr>
                <w:rFonts w:ascii="Aptos" w:hAnsi="Aptos"/>
                <w:b w:val="0"/>
                <w:color w:val="222222"/>
                <w:sz w:val="14"/>
              </w:rPr>
              <w:t>Regulatory guidance</w:t>
            </w:r>
          </w:p>
        </w:tc>
        <w:tc>
          <w:tcPr>
            <w:tcW w:type="dxa" w:w="3384"/>
            <w:tcMar>
              <w:top w:w="80" w:type="dxa"/>
              <w:start w:w="100" w:type="dxa"/>
              <w:bottom w:w="80" w:type="dxa"/>
              <w:end w:w="100" w:type="dxa"/>
            </w:tcMar>
            <w:vAlign w:val="center"/>
            <w:shd w:fill="FFFFFF"/>
          </w:tcPr>
          <w:p>
            <w:pPr>
              <w:spacing w:after="0"/>
            </w:pPr>
            <w:r/>
            <w:r>
              <w:rPr>
                <w:rFonts w:ascii="Aptos" w:hAnsi="Aptos"/>
                <w:b w:val="0"/>
                <w:color w:val="222222"/>
                <w:sz w:val="14"/>
              </w:rPr>
              <w:t>EDPB DPIA guidance supports determining when processing is likely to result in high risk and therefore requires a DPIA.</w:t>
            </w:r>
          </w:p>
        </w:tc>
        <w:tc>
          <w:tcPr>
            <w:tcW w:type="dxa" w:w="2448"/>
            <w:tcMar>
              <w:top w:w="80" w:type="dxa"/>
              <w:start w:w="100" w:type="dxa"/>
              <w:bottom w:w="80" w:type="dxa"/>
              <w:end w:w="100" w:type="dxa"/>
            </w:tcMar>
            <w:vAlign w:val="center"/>
            <w:shd w:fill="FFFFFF"/>
          </w:tcPr>
          <w:p>
            <w:pPr>
              <w:spacing w:after="0"/>
            </w:pPr>
            <w:r/>
            <w:r>
              <w:rPr>
                <w:rFonts w:ascii="Aptos" w:hAnsi="Aptos"/>
                <w:b w:val="0"/>
                <w:color w:val="222222"/>
                <w:sz w:val="14"/>
              </w:rPr>
              <w:t>EDPB-endorsed DPIA Guidelines WP248 rev.01 | S12</w:t>
            </w:r>
          </w:p>
        </w:tc>
        <w:tc>
          <w:tcPr>
            <w:tcW w:type="dxa" w:w="2520"/>
            <w:tcMar>
              <w:top w:w="80" w:type="dxa"/>
              <w:start w:w="100" w:type="dxa"/>
              <w:bottom w:w="80" w:type="dxa"/>
              <w:end w:w="100" w:type="dxa"/>
            </w:tcMar>
            <w:vAlign w:val="center"/>
            <w:shd w:fill="FFFFFF"/>
          </w:tcPr>
          <w:p>
            <w:pPr>
              <w:spacing w:after="0"/>
            </w:pPr>
            <w:r/>
            <w:r>
              <w:rPr>
                <w:rFonts w:ascii="Aptos" w:hAnsi="Aptos"/>
                <w:b w:val="0"/>
                <w:color w:val="222222"/>
                <w:sz w:val="14"/>
              </w:rPr>
              <w:t>Use for DuckTalent DPIA screening and other high-impact personal-data AI. | Systems: DuckTalent; other personal-data AI</w:t>
            </w:r>
          </w:p>
        </w:tc>
      </w:tr>
      <w:tr>
        <w:tc>
          <w:tcPr>
            <w:tcW w:type="dxa" w:w="792"/>
            <w:tcMar>
              <w:top w:w="80" w:type="dxa"/>
              <w:start w:w="100" w:type="dxa"/>
              <w:bottom w:w="80" w:type="dxa"/>
              <w:end w:w="100" w:type="dxa"/>
            </w:tcMar>
            <w:vAlign w:val="center"/>
            <w:shd w:fill="F5F7F9"/>
          </w:tcPr>
          <w:p>
            <w:pPr>
              <w:spacing w:after="0"/>
            </w:pPr>
            <w:r/>
            <w:r>
              <w:rPr>
                <w:rFonts w:ascii="Aptos" w:hAnsi="Aptos"/>
                <w:b w:val="0"/>
                <w:color w:val="222222"/>
                <w:sz w:val="14"/>
              </w:rPr>
              <w:t>G-10</w:t>
            </w:r>
          </w:p>
        </w:tc>
        <w:tc>
          <w:tcPr>
            <w:tcW w:type="dxa" w:w="1512"/>
            <w:tcMar>
              <w:top w:w="80" w:type="dxa"/>
              <w:start w:w="100" w:type="dxa"/>
              <w:bottom w:w="80" w:type="dxa"/>
              <w:end w:w="100" w:type="dxa"/>
            </w:tcMar>
            <w:vAlign w:val="center"/>
            <w:shd w:fill="F5F7F9"/>
          </w:tcPr>
          <w:p>
            <w:pPr>
              <w:spacing w:after="0"/>
            </w:pPr>
            <w:r/>
            <w:r>
              <w:rPr>
                <w:rFonts w:ascii="Aptos" w:hAnsi="Aptos"/>
                <w:b w:val="0"/>
                <w:color w:val="222222"/>
                <w:sz w:val="14"/>
              </w:rPr>
              <w:t>Official non-binding guidance</w:t>
            </w:r>
          </w:p>
        </w:tc>
        <w:tc>
          <w:tcPr>
            <w:tcW w:type="dxa" w:w="3384"/>
            <w:tcMar>
              <w:top w:w="80" w:type="dxa"/>
              <w:start w:w="100" w:type="dxa"/>
              <w:bottom w:w="80" w:type="dxa"/>
              <w:end w:w="100" w:type="dxa"/>
            </w:tcMar>
            <w:vAlign w:val="center"/>
            <w:shd w:fill="F5F7F9"/>
          </w:tcPr>
          <w:p>
            <w:pPr>
              <w:spacing w:after="0"/>
            </w:pPr>
            <w:r/>
            <w:r>
              <w:rPr>
                <w:rFonts w:ascii="Aptos" w:hAnsi="Aptos"/>
                <w:b w:val="0"/>
                <w:color w:val="222222"/>
                <w:sz w:val="14"/>
              </w:rPr>
              <w:t>The Commission 2026 CRA guidance clarifies scope, substantial modification, support periods, reporting and risk assessment.</w:t>
            </w:r>
          </w:p>
        </w:tc>
        <w:tc>
          <w:tcPr>
            <w:tcW w:type="dxa" w:w="2448"/>
            <w:tcMar>
              <w:top w:w="80" w:type="dxa"/>
              <w:start w:w="100" w:type="dxa"/>
              <w:bottom w:w="80" w:type="dxa"/>
              <w:end w:w="100" w:type="dxa"/>
            </w:tcMar>
            <w:vAlign w:val="center"/>
            <w:shd w:fill="F5F7F9"/>
          </w:tcPr>
          <w:p>
            <w:pPr>
              <w:spacing w:after="0"/>
            </w:pPr>
            <w:r/>
            <w:r>
              <w:rPr>
                <w:rFonts w:ascii="Aptos" w:hAnsi="Aptos"/>
                <w:b w:val="0"/>
                <w:color w:val="222222"/>
                <w:sz w:val="14"/>
              </w:rPr>
              <w:t>CRA implementation guidance | S20</w:t>
            </w:r>
          </w:p>
        </w:tc>
        <w:tc>
          <w:tcPr>
            <w:tcW w:type="dxa" w:w="2520"/>
            <w:tcMar>
              <w:top w:w="80" w:type="dxa"/>
              <w:start w:w="100" w:type="dxa"/>
              <w:bottom w:w="80" w:type="dxa"/>
              <w:end w:w="100" w:type="dxa"/>
            </w:tcMar>
            <w:vAlign w:val="center"/>
            <w:shd w:fill="F5F7F9"/>
          </w:tcPr>
          <w:p>
            <w:pPr>
              <w:spacing w:after="0"/>
            </w:pPr>
            <w:r/>
            <w:r>
              <w:rPr>
                <w:rFonts w:ascii="Aptos" w:hAnsi="Aptos"/>
                <w:b w:val="0"/>
                <w:color w:val="222222"/>
                <w:sz w:val="14"/>
              </w:rPr>
              <w:t>Use for Duckworks product scoping and readiness, while treating the CRA text as the binding source. | Systems: Connected/product-integrated AI and software</w:t>
            </w:r>
          </w:p>
        </w:tc>
      </w:tr>
      <w:tr>
        <w:tc>
          <w:tcPr>
            <w:tcW w:type="dxa" w:w="792"/>
            <w:tcMar>
              <w:top w:w="80" w:type="dxa"/>
              <w:start w:w="100" w:type="dxa"/>
              <w:bottom w:w="80" w:type="dxa"/>
              <w:end w:w="100" w:type="dxa"/>
            </w:tcMar>
            <w:vAlign w:val="center"/>
            <w:shd w:fill="FFFFFF"/>
          </w:tcPr>
          <w:p>
            <w:pPr>
              <w:spacing w:after="0"/>
            </w:pPr>
            <w:r/>
            <w:r>
              <w:rPr>
                <w:rFonts w:ascii="Aptos" w:hAnsi="Aptos"/>
                <w:b w:val="0"/>
                <w:color w:val="222222"/>
                <w:sz w:val="14"/>
              </w:rPr>
              <w:t>G-11</w:t>
            </w:r>
          </w:p>
        </w:tc>
        <w:tc>
          <w:tcPr>
            <w:tcW w:type="dxa" w:w="1512"/>
            <w:tcMar>
              <w:top w:w="80" w:type="dxa"/>
              <w:start w:w="100" w:type="dxa"/>
              <w:bottom w:w="80" w:type="dxa"/>
              <w:end w:w="100" w:type="dxa"/>
            </w:tcMar>
            <w:vAlign w:val="center"/>
            <w:shd w:fill="FFFFFF"/>
          </w:tcPr>
          <w:p>
            <w:pPr>
              <w:spacing w:after="0"/>
            </w:pPr>
            <w:r/>
            <w:r>
              <w:rPr>
                <w:rFonts w:ascii="Aptos" w:hAnsi="Aptos"/>
                <w:b w:val="0"/>
                <w:color w:val="222222"/>
                <w:sz w:val="14"/>
              </w:rPr>
              <w:t>Official EU cybersecurity guidance</w:t>
            </w:r>
          </w:p>
        </w:tc>
        <w:tc>
          <w:tcPr>
            <w:tcW w:type="dxa" w:w="3384"/>
            <w:tcMar>
              <w:top w:w="80" w:type="dxa"/>
              <w:start w:w="100" w:type="dxa"/>
              <w:bottom w:w="80" w:type="dxa"/>
              <w:end w:w="100" w:type="dxa"/>
            </w:tcMar>
            <w:vAlign w:val="center"/>
            <w:shd w:fill="FFFFFF"/>
          </w:tcPr>
          <w:p>
            <w:pPr>
              <w:spacing w:after="0"/>
            </w:pPr>
            <w:r/>
            <w:r>
              <w:rPr>
                <w:rFonts w:ascii="Aptos" w:hAnsi="Aptos"/>
                <w:b w:val="0"/>
                <w:color w:val="222222"/>
                <w:sz w:val="14"/>
              </w:rPr>
              <w:t>ENISA Multilayer Framework uses three layers: cybersecurity foundations, AI-specific cybersecurity, and sector-specific cybersecurity for AI.</w:t>
            </w:r>
          </w:p>
        </w:tc>
        <w:tc>
          <w:tcPr>
            <w:tcW w:type="dxa" w:w="2448"/>
            <w:tcMar>
              <w:top w:w="80" w:type="dxa"/>
              <w:start w:w="100" w:type="dxa"/>
              <w:bottom w:w="80" w:type="dxa"/>
              <w:end w:w="100" w:type="dxa"/>
            </w:tcMar>
            <w:vAlign w:val="center"/>
            <w:shd w:fill="FFFFFF"/>
          </w:tcPr>
          <w:p>
            <w:pPr>
              <w:spacing w:after="0"/>
            </w:pPr>
            <w:r/>
            <w:r>
              <w:rPr>
                <w:rFonts w:ascii="Aptos" w:hAnsi="Aptos"/>
                <w:b w:val="0"/>
                <w:color w:val="222222"/>
                <w:sz w:val="14"/>
              </w:rPr>
              <w:t>ENISA Multilayer Framework | S36</w:t>
            </w:r>
          </w:p>
        </w:tc>
        <w:tc>
          <w:tcPr>
            <w:tcW w:type="dxa" w:w="2520"/>
            <w:tcMar>
              <w:top w:w="80" w:type="dxa"/>
              <w:start w:w="100" w:type="dxa"/>
              <w:bottom w:w="80" w:type="dxa"/>
              <w:end w:w="100" w:type="dxa"/>
            </w:tcMar>
            <w:vAlign w:val="center"/>
            <w:shd w:fill="FFFFFF"/>
          </w:tcPr>
          <w:p>
            <w:pPr>
              <w:spacing w:after="0"/>
            </w:pPr>
            <w:r/>
            <w:r>
              <w:rPr>
                <w:rFonts w:ascii="Aptos" w:hAnsi="Aptos"/>
                <w:b w:val="0"/>
                <w:color w:val="222222"/>
                <w:sz w:val="14"/>
              </w:rPr>
              <w:t>Strong basis for AI threat modelling, lifecycle security and control design. | Systems: All systems; especially QuackBot, PondGPT, DuckDesign, WingInspect</w:t>
            </w:r>
          </w:p>
        </w:tc>
      </w:tr>
      <w:tr>
        <w:tc>
          <w:tcPr>
            <w:tcW w:type="dxa" w:w="792"/>
            <w:tcMar>
              <w:top w:w="80" w:type="dxa"/>
              <w:start w:w="100" w:type="dxa"/>
              <w:bottom w:w="80" w:type="dxa"/>
              <w:end w:w="100" w:type="dxa"/>
            </w:tcMar>
            <w:vAlign w:val="center"/>
            <w:shd w:fill="F5F7F9"/>
          </w:tcPr>
          <w:p>
            <w:pPr>
              <w:spacing w:after="0"/>
            </w:pPr>
            <w:r/>
            <w:r>
              <w:rPr>
                <w:rFonts w:ascii="Aptos" w:hAnsi="Aptos"/>
                <w:b w:val="0"/>
                <w:color w:val="222222"/>
                <w:sz w:val="14"/>
              </w:rPr>
              <w:t>G-12</w:t>
            </w:r>
          </w:p>
        </w:tc>
        <w:tc>
          <w:tcPr>
            <w:tcW w:type="dxa" w:w="1512"/>
            <w:tcMar>
              <w:top w:w="80" w:type="dxa"/>
              <w:start w:w="100" w:type="dxa"/>
              <w:bottom w:w="80" w:type="dxa"/>
              <w:end w:w="100" w:type="dxa"/>
            </w:tcMar>
            <w:vAlign w:val="center"/>
            <w:shd w:fill="F5F7F9"/>
          </w:tcPr>
          <w:p>
            <w:pPr>
              <w:spacing w:after="0"/>
            </w:pPr>
            <w:r/>
            <w:r>
              <w:rPr>
                <w:rFonts w:ascii="Aptos" w:hAnsi="Aptos"/>
                <w:b w:val="0"/>
                <w:color w:val="222222"/>
                <w:sz w:val="14"/>
              </w:rPr>
              <w:t>Official EU cybersecurity/standards guidance</w:t>
            </w:r>
          </w:p>
        </w:tc>
        <w:tc>
          <w:tcPr>
            <w:tcW w:type="dxa" w:w="3384"/>
            <w:tcMar>
              <w:top w:w="80" w:type="dxa"/>
              <w:start w:w="100" w:type="dxa"/>
              <w:bottom w:w="80" w:type="dxa"/>
              <w:end w:w="100" w:type="dxa"/>
            </w:tcMar>
            <w:vAlign w:val="center"/>
            <w:shd w:fill="F5F7F9"/>
          </w:tcPr>
          <w:p>
            <w:pPr>
              <w:spacing w:after="0"/>
            </w:pPr>
            <w:r/>
            <w:r>
              <w:rPr>
                <w:rFonts w:ascii="Aptos" w:hAnsi="Aptos"/>
                <w:b w:val="0"/>
                <w:color w:val="222222"/>
                <w:sz w:val="14"/>
              </w:rPr>
              <w:t>ENISA Cybersecurity of AI and Standardisation helps relate AI-specific cybersecurity needs to standards and EU policy.</w:t>
            </w:r>
          </w:p>
        </w:tc>
        <w:tc>
          <w:tcPr>
            <w:tcW w:type="dxa" w:w="2448"/>
            <w:tcMar>
              <w:top w:w="80" w:type="dxa"/>
              <w:start w:w="100" w:type="dxa"/>
              <w:bottom w:w="80" w:type="dxa"/>
              <w:end w:w="100" w:type="dxa"/>
            </w:tcMar>
            <w:vAlign w:val="center"/>
            <w:shd w:fill="F5F7F9"/>
          </w:tcPr>
          <w:p>
            <w:pPr>
              <w:spacing w:after="0"/>
            </w:pPr>
            <w:r/>
            <w:r>
              <w:rPr>
                <w:rFonts w:ascii="Aptos" w:hAnsi="Aptos"/>
                <w:b w:val="0"/>
                <w:color w:val="222222"/>
                <w:sz w:val="14"/>
              </w:rPr>
              <w:t>ENISA Cybersecurity of AI and Standardisation | S37</w:t>
            </w:r>
          </w:p>
        </w:tc>
        <w:tc>
          <w:tcPr>
            <w:tcW w:type="dxa" w:w="2520"/>
            <w:tcMar>
              <w:top w:w="80" w:type="dxa"/>
              <w:start w:w="100" w:type="dxa"/>
              <w:bottom w:w="80" w:type="dxa"/>
              <w:end w:w="100" w:type="dxa"/>
            </w:tcMar>
            <w:vAlign w:val="center"/>
            <w:shd w:fill="F5F7F9"/>
          </w:tcPr>
          <w:p>
            <w:pPr>
              <w:spacing w:after="0"/>
            </w:pPr>
            <w:r/>
            <w:r>
              <w:rPr>
                <w:rFonts w:ascii="Aptos" w:hAnsi="Aptos"/>
                <w:b w:val="0"/>
                <w:color w:val="222222"/>
                <w:sz w:val="14"/>
              </w:rPr>
              <w:t>Use as supporting technical rationale, not as a standalone legal obligation. | Systems: Portfolio-wide</w:t>
            </w:r>
          </w:p>
        </w:tc>
      </w:tr>
    </w:tbl>
    <w:p>
      <w:pPr>
        <w:pStyle w:val="Heading1"/>
        <w:keepNext/>
      </w:pPr>
      <w:r>
        <w:t>4. Voluntary Standards and Recognized Framework Guidance</w:t>
      </w:r>
    </w:p>
    <w:p>
      <w:r>
        <w:t>These sources are not legislation. They become binding only where incorporated through contract, internal policy, certification commitments, procurement requirements or another binding mechanism. Alignment does not establish legal compliance.</w:t>
      </w:r>
    </w:p>
    <w:p>
      <w:r>
        <w:rPr>
          <w:b/>
          <w:color w:val="17324D"/>
        </w:rPr>
        <w:t>F-01  NIST AI RMF 1.0 provides the Govern, Map, Measure and Manage functions for socio-technical AI risk management.</w:t>
      </w:r>
    </w:p>
    <w:p>
      <w:pPr>
        <w:spacing w:after="60"/>
      </w:pPr>
      <w:r>
        <w:rPr>
          <w:b/>
          <w:color w:val="2A6F6B"/>
        </w:rPr>
        <w:t xml:space="preserve">Type: </w:t>
      </w:r>
      <w:r>
        <w:t>Voluntary framework</w:t>
      </w:r>
    </w:p>
    <w:p>
      <w:pPr>
        <w:spacing w:after="60"/>
      </w:pPr>
      <w:r>
        <w:rPr>
          <w:b/>
          <w:color w:val="2A6F6B"/>
        </w:rPr>
        <w:t xml:space="preserve">Relevant public basis: </w:t>
      </w:r>
      <w:r>
        <w:t>AI RMF Core | S26</w:t>
      </w:r>
    </w:p>
    <w:p>
      <w:pPr>
        <w:spacing w:after="60"/>
      </w:pPr>
      <w:r>
        <w:rPr>
          <w:b/>
          <w:color w:val="2A6F6B"/>
        </w:rPr>
        <w:t xml:space="preserve">Duckworks use: </w:t>
      </w:r>
      <w:r>
        <w:t>Use as the primary cross-system operating structure. NIST states AI RMF 1.0 is voluntary and is being revised.</w:t>
      </w:r>
    </w:p>
    <w:p>
      <w:pPr>
        <w:spacing w:after="60"/>
      </w:pPr>
      <w:r>
        <w:rPr>
          <w:b/>
          <w:color w:val="2A6F6B"/>
        </w:rPr>
        <w:t xml:space="preserve">Systems: </w:t>
      </w:r>
      <w:r>
        <w:t>All systems</w:t>
      </w:r>
    </w:p>
    <w:p>
      <w:r>
        <w:rPr>
          <w:b/>
          <w:color w:val="17324D"/>
        </w:rPr>
        <w:t>F-02  NIST AI RMF Playbook provides suggested actions mapped to AI RMF subcategories.</w:t>
      </w:r>
    </w:p>
    <w:p>
      <w:pPr>
        <w:spacing w:after="60"/>
      </w:pPr>
      <w:r>
        <w:rPr>
          <w:b/>
          <w:color w:val="2A6F6B"/>
        </w:rPr>
        <w:t xml:space="preserve">Type: </w:t>
      </w:r>
      <w:r>
        <w:t>Voluntary implementation guidance</w:t>
      </w:r>
    </w:p>
    <w:p>
      <w:pPr>
        <w:spacing w:after="60"/>
      </w:pPr>
      <w:r>
        <w:rPr>
          <w:b/>
          <w:color w:val="2A6F6B"/>
        </w:rPr>
        <w:t xml:space="preserve">Relevant public basis: </w:t>
      </w:r>
      <w:r>
        <w:t>Govern / Map / Measure / Manage Playbook | S27</w:t>
      </w:r>
    </w:p>
    <w:p>
      <w:pPr>
        <w:spacing w:after="60"/>
      </w:pPr>
      <w:r>
        <w:rPr>
          <w:b/>
          <w:color w:val="2A6F6B"/>
        </w:rPr>
        <w:t xml:space="preserve">Duckworks use: </w:t>
      </w:r>
      <w:r>
        <w:t>Use selectively for controls and evidence; NIST says it is not a checklist or ordered implementation sequence.</w:t>
      </w:r>
    </w:p>
    <w:p>
      <w:pPr>
        <w:spacing w:after="60"/>
      </w:pPr>
      <w:r>
        <w:rPr>
          <w:b/>
          <w:color w:val="2A6F6B"/>
        </w:rPr>
        <w:t xml:space="preserve">Systems: </w:t>
      </w:r>
      <w:r>
        <w:t>All systems</w:t>
      </w:r>
    </w:p>
    <w:p>
      <w:r>
        <w:rPr>
          <w:b/>
          <w:color w:val="17324D"/>
        </w:rPr>
        <w:t>F-03  NIST AI 600-1 identifies GenAI-specific risks and actions as a companion to AI RMF 1.0.</w:t>
      </w:r>
    </w:p>
    <w:p>
      <w:pPr>
        <w:spacing w:after="60"/>
      </w:pPr>
      <w:r>
        <w:rPr>
          <w:b/>
          <w:color w:val="2A6F6B"/>
        </w:rPr>
        <w:t xml:space="preserve">Type: </w:t>
      </w:r>
      <w:r>
        <w:t>Voluntary GenAI profile</w:t>
      </w:r>
    </w:p>
    <w:p>
      <w:pPr>
        <w:spacing w:after="60"/>
      </w:pPr>
      <w:r>
        <w:rPr>
          <w:b/>
          <w:color w:val="2A6F6B"/>
        </w:rPr>
        <w:t xml:space="preserve">Relevant public basis: </w:t>
      </w:r>
      <w:r>
        <w:t>NIST AI 600-1 | S28</w:t>
      </w:r>
    </w:p>
    <w:p>
      <w:pPr>
        <w:spacing w:after="60"/>
      </w:pPr>
      <w:r>
        <w:rPr>
          <w:b/>
          <w:color w:val="2A6F6B"/>
        </w:rPr>
        <w:t xml:space="preserve">Duckworks use: </w:t>
      </w:r>
      <w:r>
        <w:t>Strong for hallucination, information integrity, human-AI configuration, misuse, privacy/security and value-chain risks.</w:t>
      </w:r>
    </w:p>
    <w:p>
      <w:pPr>
        <w:spacing w:after="60"/>
      </w:pPr>
      <w:r>
        <w:rPr>
          <w:b/>
          <w:color w:val="2A6F6B"/>
        </w:rPr>
        <w:t xml:space="preserve">Systems: </w:t>
      </w:r>
      <w:r>
        <w:t>DuckDesign; QuackBot; PondGPT; shadow GenAI</w:t>
      </w:r>
    </w:p>
    <w:p>
      <w:r>
        <w:rPr>
          <w:b/>
          <w:color w:val="17324D"/>
        </w:rPr>
        <w:t>F-04  NIST SP 800-218A augments the SSDF with AI-model-development practices and is useful to model producers, system producers and acquirers.</w:t>
      </w:r>
    </w:p>
    <w:p>
      <w:pPr>
        <w:spacing w:after="60"/>
      </w:pPr>
      <w:r>
        <w:rPr>
          <w:b/>
          <w:color w:val="2A6F6B"/>
        </w:rPr>
        <w:t xml:space="preserve">Type: </w:t>
      </w:r>
      <w:r>
        <w:t>Voluntary secure-development guidance</w:t>
      </w:r>
    </w:p>
    <w:p>
      <w:pPr>
        <w:spacing w:after="60"/>
      </w:pPr>
      <w:r>
        <w:rPr>
          <w:b/>
          <w:color w:val="2A6F6B"/>
        </w:rPr>
        <w:t xml:space="preserve">Relevant public basis: </w:t>
      </w:r>
      <w:r>
        <w:t>SP 800-218A | S29</w:t>
      </w:r>
    </w:p>
    <w:p>
      <w:pPr>
        <w:spacing w:after="60"/>
      </w:pPr>
      <w:r>
        <w:rPr>
          <w:b/>
          <w:color w:val="2A6F6B"/>
        </w:rPr>
        <w:t xml:space="preserve">Duckworks use: </w:t>
      </w:r>
      <w:r>
        <w:t>Integrate into AI SDLC and acquisition for internally developed or materially integrated AI.</w:t>
      </w:r>
    </w:p>
    <w:p>
      <w:pPr>
        <w:spacing w:after="60"/>
      </w:pPr>
      <w:r>
        <w:rPr>
          <w:b/>
          <w:color w:val="2A6F6B"/>
        </w:rPr>
        <w:t xml:space="preserve">Systems: </w:t>
      </w:r>
      <w:r>
        <w:t>DuckDesign; QuackBot; PondGPT; WingInspect; DuckTalent depending build model</w:t>
      </w:r>
    </w:p>
    <w:p>
      <w:r>
        <w:rPr>
          <w:b/>
          <w:color w:val="17324D"/>
        </w:rPr>
        <w:t>F-05  ISO/IEC 42001:2023 specifies requirements and guidance for establishing, implementing, maintaining and continually improving an AI management system.</w:t>
      </w:r>
    </w:p>
    <w:p>
      <w:pPr>
        <w:spacing w:after="60"/>
      </w:pPr>
      <w:r>
        <w:rPr>
          <w:b/>
          <w:color w:val="2A6F6B"/>
        </w:rPr>
        <w:t xml:space="preserve">Type: </w:t>
      </w:r>
      <w:r>
        <w:t>Voluntary/certifiable management system standard</w:t>
      </w:r>
    </w:p>
    <w:p>
      <w:pPr>
        <w:spacing w:after="60"/>
      </w:pPr>
      <w:r>
        <w:rPr>
          <w:b/>
          <w:color w:val="2A6F6B"/>
        </w:rPr>
        <w:t xml:space="preserve">Relevant public basis: </w:t>
      </w:r>
      <w:r>
        <w:t>Public ISO description; full standard requires authorized access | S30</w:t>
      </w:r>
    </w:p>
    <w:p>
      <w:pPr>
        <w:spacing w:after="60"/>
      </w:pPr>
      <w:r>
        <w:rPr>
          <w:b/>
          <w:color w:val="2A6F6B"/>
        </w:rPr>
        <w:t xml:space="preserve">Duckworks use: </w:t>
      </w:r>
      <w:r>
        <w:t>Best ISO basis for Duckworks enterprise AI governance operating model, policies, roles, lifecycle governance and continual improvement.</w:t>
      </w:r>
    </w:p>
    <w:p>
      <w:pPr>
        <w:spacing w:after="60"/>
      </w:pPr>
      <w:r>
        <w:rPr>
          <w:b/>
          <w:color w:val="2A6F6B"/>
        </w:rPr>
        <w:t xml:space="preserve">Systems: </w:t>
      </w:r>
      <w:r>
        <w:t>Portfolio-wide</w:t>
      </w:r>
    </w:p>
    <w:p>
      <w:r>
        <w:rPr>
          <w:b/>
          <w:color w:val="17324D"/>
        </w:rPr>
        <w:t>F-06  ISO/IEC 23894:2023 provides guidance for AI-specific risk management and integration into organizational activities.</w:t>
      </w:r>
    </w:p>
    <w:p>
      <w:pPr>
        <w:spacing w:after="60"/>
      </w:pPr>
      <w:r>
        <w:rPr>
          <w:b/>
          <w:color w:val="2A6F6B"/>
        </w:rPr>
        <w:t xml:space="preserve">Type: </w:t>
      </w:r>
      <w:r>
        <w:t>Voluntary guidance standard</w:t>
      </w:r>
    </w:p>
    <w:p>
      <w:pPr>
        <w:spacing w:after="60"/>
      </w:pPr>
      <w:r>
        <w:rPr>
          <w:b/>
          <w:color w:val="2A6F6B"/>
        </w:rPr>
        <w:t xml:space="preserve">Relevant public basis: </w:t>
      </w:r>
      <w:r>
        <w:t>Public ISO description | S31</w:t>
      </w:r>
    </w:p>
    <w:p>
      <w:pPr>
        <w:spacing w:after="60"/>
      </w:pPr>
      <w:r>
        <w:rPr>
          <w:b/>
          <w:color w:val="2A6F6B"/>
        </w:rPr>
        <w:t xml:space="preserve">Duckworks use: </w:t>
      </w:r>
      <w:r>
        <w:t>Supports Duckworks risk identification, analysis, evaluation, treatment and monitoring methodology.</w:t>
      </w:r>
    </w:p>
    <w:p>
      <w:pPr>
        <w:spacing w:after="60"/>
      </w:pPr>
      <w:r>
        <w:rPr>
          <w:b/>
          <w:color w:val="2A6F6B"/>
        </w:rPr>
        <w:t xml:space="preserve">Systems: </w:t>
      </w:r>
      <w:r>
        <w:t>Portfolio-wide</w:t>
      </w:r>
    </w:p>
    <w:p>
      <w:r>
        <w:rPr>
          <w:b/>
          <w:color w:val="17324D"/>
        </w:rPr>
        <w:t>F-07  ISO/IEC 42005:2025 provides guidance for AI system impact assessments across the lifecycle, focused on impacts to individuals, groups and society.</w:t>
      </w:r>
    </w:p>
    <w:p>
      <w:pPr>
        <w:spacing w:after="60"/>
      </w:pPr>
      <w:r>
        <w:rPr>
          <w:b/>
          <w:color w:val="2A6F6B"/>
        </w:rPr>
        <w:t xml:space="preserve">Type: </w:t>
      </w:r>
      <w:r>
        <w:t>Voluntary guidance standard</w:t>
      </w:r>
    </w:p>
    <w:p>
      <w:pPr>
        <w:spacing w:after="60"/>
      </w:pPr>
      <w:r>
        <w:rPr>
          <w:b/>
          <w:color w:val="2A6F6B"/>
        </w:rPr>
        <w:t xml:space="preserve">Relevant public basis: </w:t>
      </w:r>
      <w:r>
        <w:t>Public ISO description | S32</w:t>
      </w:r>
    </w:p>
    <w:p>
      <w:pPr>
        <w:spacing w:after="60"/>
      </w:pPr>
      <w:r>
        <w:rPr>
          <w:b/>
          <w:color w:val="2A6F6B"/>
        </w:rPr>
        <w:t xml:space="preserve">Duckworks use: </w:t>
      </w:r>
      <w:r>
        <w:t>Use for Duckworks AIA methodology, especially DuckTalent. Do not equate it to a statutory AI Act FRIA.</w:t>
      </w:r>
    </w:p>
    <w:p>
      <w:pPr>
        <w:spacing w:after="60"/>
      </w:pPr>
      <w:r>
        <w:rPr>
          <w:b/>
          <w:color w:val="2A6F6B"/>
        </w:rPr>
        <w:t xml:space="preserve">Systems: </w:t>
      </w:r>
      <w:r>
        <w:t>All material systems; DuckTalent core</w:t>
      </w:r>
    </w:p>
    <w:p>
      <w:r>
        <w:rPr>
          <w:b/>
          <w:color w:val="17324D"/>
        </w:rPr>
        <w:t>F-08  ISO/IEC 27001:2022 provides ISMS requirements and can anchor security governance around AI.</w:t>
      </w:r>
    </w:p>
    <w:p>
      <w:pPr>
        <w:spacing w:after="60"/>
      </w:pPr>
      <w:r>
        <w:rPr>
          <w:b/>
          <w:color w:val="2A6F6B"/>
        </w:rPr>
        <w:t xml:space="preserve">Type: </w:t>
      </w:r>
      <w:r>
        <w:t>Voluntary/certifiable management system standard</w:t>
      </w:r>
    </w:p>
    <w:p>
      <w:pPr>
        <w:spacing w:after="60"/>
      </w:pPr>
      <w:r>
        <w:rPr>
          <w:b/>
          <w:color w:val="2A6F6B"/>
        </w:rPr>
        <w:t xml:space="preserve">Relevant public basis: </w:t>
      </w:r>
      <w:r>
        <w:t>Public ISO description; Amendment 1:2024 noted | S33</w:t>
      </w:r>
    </w:p>
    <w:p>
      <w:pPr>
        <w:spacing w:after="60"/>
      </w:pPr>
      <w:r>
        <w:rPr>
          <w:b/>
          <w:color w:val="2A6F6B"/>
        </w:rPr>
        <w:t xml:space="preserve">Duckworks use: </w:t>
      </w:r>
      <w:r>
        <w:t>Reuse ISMS processes for access control, supplier security, incident management, logging, risk treatment and evidence.</w:t>
      </w:r>
    </w:p>
    <w:p>
      <w:pPr>
        <w:spacing w:after="60"/>
      </w:pPr>
      <w:r>
        <w:rPr>
          <w:b/>
          <w:color w:val="2A6F6B"/>
        </w:rPr>
        <w:t xml:space="preserve">Systems: </w:t>
      </w:r>
      <w:r>
        <w:t>Portfolio-wide</w:t>
      </w:r>
    </w:p>
    <w:p>
      <w:r>
        <w:rPr>
          <w:b/>
          <w:color w:val="17324D"/>
        </w:rPr>
        <w:t>F-09  ISO/IEC 27005:2022 supports information-security risk assessment and treatment.</w:t>
      </w:r>
    </w:p>
    <w:p>
      <w:pPr>
        <w:spacing w:after="60"/>
      </w:pPr>
      <w:r>
        <w:rPr>
          <w:b/>
          <w:color w:val="2A6F6B"/>
        </w:rPr>
        <w:t xml:space="preserve">Type: </w:t>
      </w:r>
      <w:r>
        <w:t>Voluntary guidance standard</w:t>
      </w:r>
    </w:p>
    <w:p>
      <w:pPr>
        <w:spacing w:after="60"/>
      </w:pPr>
      <w:r>
        <w:rPr>
          <w:b/>
          <w:color w:val="2A6F6B"/>
        </w:rPr>
        <w:t xml:space="preserve">Relevant public basis: </w:t>
      </w:r>
      <w:r>
        <w:t>Public ISO description | S34</w:t>
      </w:r>
    </w:p>
    <w:p>
      <w:pPr>
        <w:spacing w:after="60"/>
      </w:pPr>
      <w:r>
        <w:rPr>
          <w:b/>
          <w:color w:val="2A6F6B"/>
        </w:rPr>
        <w:t xml:space="preserve">Duckworks use: </w:t>
      </w:r>
      <w:r>
        <w:t>Use for security-specific risk scenarios within the broader AI risk method.</w:t>
      </w:r>
    </w:p>
    <w:p>
      <w:pPr>
        <w:spacing w:after="60"/>
      </w:pPr>
      <w:r>
        <w:rPr>
          <w:b/>
          <w:color w:val="2A6F6B"/>
        </w:rPr>
        <w:t xml:space="preserve">Systems: </w:t>
      </w:r>
      <w:r>
        <w:t>Portfolio-wide</w:t>
      </w:r>
    </w:p>
    <w:p>
      <w:r>
        <w:rPr>
          <w:b/>
          <w:color w:val="17324D"/>
        </w:rPr>
        <w:t>F-10  ISO 31000:2018 provides enterprise risk-management principles and guidance.</w:t>
      </w:r>
    </w:p>
    <w:p>
      <w:pPr>
        <w:spacing w:after="60"/>
      </w:pPr>
      <w:r>
        <w:rPr>
          <w:b/>
          <w:color w:val="2A6F6B"/>
        </w:rPr>
        <w:t xml:space="preserve">Type: </w:t>
      </w:r>
      <w:r>
        <w:t>Voluntary guidance standard</w:t>
      </w:r>
    </w:p>
    <w:p>
      <w:pPr>
        <w:spacing w:after="60"/>
      </w:pPr>
      <w:r>
        <w:rPr>
          <w:b/>
          <w:color w:val="2A6F6B"/>
        </w:rPr>
        <w:t xml:space="preserve">Relevant public basis: </w:t>
      </w:r>
      <w:r>
        <w:t>Public ISO description | S35</w:t>
      </w:r>
    </w:p>
    <w:p>
      <w:pPr>
        <w:spacing w:after="60"/>
      </w:pPr>
      <w:r>
        <w:rPr>
          <w:b/>
          <w:color w:val="2A6F6B"/>
        </w:rPr>
        <w:t xml:space="preserve">Duckworks use: </w:t>
      </w:r>
      <w:r>
        <w:t>Use to align AI risk treatment and escalation with enterprise risk management.</w:t>
      </w:r>
    </w:p>
    <w:p>
      <w:pPr>
        <w:spacing w:after="60"/>
      </w:pPr>
      <w:r>
        <w:rPr>
          <w:b/>
          <w:color w:val="2A6F6B"/>
        </w:rPr>
        <w:t xml:space="preserve">Systems: </w:t>
      </w:r>
      <w:r>
        <w:t>Portfolio-wide</w:t>
      </w:r>
    </w:p>
    <w:p>
      <w:r>
        <w:rPr>
          <w:b/>
          <w:color w:val="17324D"/>
        </w:rPr>
        <w:t>F-11  OECD AI Principles provide a high-level responsible-AI principles layer covering human-centred values, transparency, robustness and accountability.</w:t>
      </w:r>
    </w:p>
    <w:p>
      <w:pPr>
        <w:spacing w:after="60"/>
      </w:pPr>
      <w:r>
        <w:rPr>
          <w:b/>
          <w:color w:val="2A6F6B"/>
        </w:rPr>
        <w:t xml:space="preserve">Type: </w:t>
      </w:r>
      <w:r>
        <w:t>Intergovernmental voluntary principles</w:t>
      </w:r>
    </w:p>
    <w:p>
      <w:pPr>
        <w:spacing w:after="60"/>
      </w:pPr>
      <w:r>
        <w:rPr>
          <w:b/>
          <w:color w:val="2A6F6B"/>
        </w:rPr>
        <w:t xml:space="preserve">Relevant public basis: </w:t>
      </w:r>
      <w:r>
        <w:t>OECD AI Principles | S38</w:t>
      </w:r>
    </w:p>
    <w:p>
      <w:pPr>
        <w:spacing w:after="60"/>
      </w:pPr>
      <w:r>
        <w:rPr>
          <w:b/>
          <w:color w:val="2A6F6B"/>
        </w:rPr>
        <w:t xml:space="preserve">Duckworks use: </w:t>
      </w:r>
      <w:r>
        <w:t>Useful as principles context, not as an auditable substitute for law or control requirements.</w:t>
      </w:r>
    </w:p>
    <w:p>
      <w:pPr>
        <w:spacing w:after="60"/>
      </w:pPr>
      <w:r>
        <w:rPr>
          <w:b/>
          <w:color w:val="2A6F6B"/>
        </w:rPr>
        <w:t xml:space="preserve">Systems: </w:t>
      </w:r>
      <w:r>
        <w:t>Portfolio-wide</w:t>
      </w:r>
    </w:p>
    <w:p>
      <w:r>
        <w:rPr>
          <w:b/>
          <w:color w:val="17324D"/>
        </w:rPr>
        <w:t>F-12  MITRE ATLAS provides adversarial tactics and techniques for AI-enabled systems.</w:t>
      </w:r>
    </w:p>
    <w:p>
      <w:pPr>
        <w:spacing w:after="60"/>
      </w:pPr>
      <w:r>
        <w:rPr>
          <w:b/>
          <w:color w:val="2A6F6B"/>
        </w:rPr>
        <w:t xml:space="preserve">Type: </w:t>
      </w:r>
      <w:r>
        <w:t>Recognized technical reference</w:t>
      </w:r>
    </w:p>
    <w:p>
      <w:pPr>
        <w:spacing w:after="60"/>
      </w:pPr>
      <w:r>
        <w:rPr>
          <w:b/>
          <w:color w:val="2A6F6B"/>
        </w:rPr>
        <w:t xml:space="preserve">Relevant public basis: </w:t>
      </w:r>
      <w:r>
        <w:t>MITRE ATLAS knowledge base | S39</w:t>
      </w:r>
    </w:p>
    <w:p>
      <w:pPr>
        <w:spacing w:after="60"/>
      </w:pPr>
      <w:r>
        <w:rPr>
          <w:b/>
          <w:color w:val="2A6F6B"/>
        </w:rPr>
        <w:t xml:space="preserve">Duckworks use: </w:t>
      </w:r>
      <w:r>
        <w:t>Use for threat modelling, red-team planning and security scenario development.</w:t>
      </w:r>
    </w:p>
    <w:p>
      <w:pPr>
        <w:spacing w:after="60"/>
      </w:pPr>
      <w:r>
        <w:rPr>
          <w:b/>
          <w:color w:val="2A6F6B"/>
        </w:rPr>
        <w:t xml:space="preserve">Systems: </w:t>
      </w:r>
      <w:r>
        <w:t>AI security relevant systems</w:t>
      </w:r>
    </w:p>
    <w:p>
      <w:r>
        <w:rPr>
          <w:b/>
          <w:color w:val="17324D"/>
        </w:rPr>
        <w:t>F-13  OWASP GenAI Security Project provides practical security guidance for LLM/GenAI applications.</w:t>
      </w:r>
    </w:p>
    <w:p>
      <w:pPr>
        <w:spacing w:after="60"/>
      </w:pPr>
      <w:r>
        <w:rPr>
          <w:b/>
          <w:color w:val="2A6F6B"/>
        </w:rPr>
        <w:t xml:space="preserve">Type: </w:t>
      </w:r>
      <w:r>
        <w:t>Community security guidance</w:t>
      </w:r>
    </w:p>
    <w:p>
      <w:pPr>
        <w:spacing w:after="60"/>
      </w:pPr>
      <w:r>
        <w:rPr>
          <w:b/>
          <w:color w:val="2A6F6B"/>
        </w:rPr>
        <w:t xml:space="preserve">Relevant public basis: </w:t>
      </w:r>
      <w:r>
        <w:t>OWASP GenAI Security Project | S40</w:t>
      </w:r>
    </w:p>
    <w:p>
      <w:pPr>
        <w:spacing w:after="60"/>
      </w:pPr>
      <w:r>
        <w:rPr>
          <w:b/>
          <w:color w:val="2A6F6B"/>
        </w:rPr>
        <w:t xml:space="preserve">Duckworks use: </w:t>
      </w:r>
      <w:r>
        <w:t>Use for prompt injection, data leakage, excessive agency, insecure integration and related GenAI controls.</w:t>
      </w:r>
    </w:p>
    <w:p>
      <w:pPr>
        <w:spacing w:after="60"/>
      </w:pPr>
      <w:r>
        <w:rPr>
          <w:b/>
          <w:color w:val="2A6F6B"/>
        </w:rPr>
        <w:t xml:space="preserve">Systems: </w:t>
      </w:r>
      <w:r>
        <w:t>QuackBot; PondGPT; DuckDesign; shadow GenAI</w:t>
      </w:r>
    </w:p>
    <w:p>
      <w:pPr>
        <w:pStyle w:val="Heading1"/>
        <w:keepNext/>
      </w:pPr>
      <w:r>
        <w:t>5. System-by-System Applicability</w:t>
      </w:r>
    </w:p>
    <w:p>
      <w:pPr>
        <w:keepNext/>
      </w:pPr>
      <w:r>
        <w:rPr>
          <w:b/>
          <w:color w:val="17324D"/>
          <w:sz w:val="24"/>
        </w:rPr>
        <w:t>AI-001 - DuckDesign AI</w:t>
      </w:r>
    </w:p>
    <w:p>
      <w:pPr>
        <w:spacing w:after="60"/>
      </w:pPr>
      <w:r>
        <w:rPr>
          <w:b/>
          <w:color w:val="17324D"/>
        </w:rPr>
        <w:t xml:space="preserve">Purpose: </w:t>
      </w:r>
      <w:r>
        <w:t>Engineering design assistance</w:t>
      </w:r>
    </w:p>
    <w:p>
      <w:pPr>
        <w:spacing w:after="60"/>
      </w:pPr>
      <w:r>
        <w:rPr>
          <w:b/>
          <w:color w:val="17324D"/>
        </w:rPr>
        <w:t xml:space="preserve">Current governance gate: </w:t>
      </w:r>
      <w:r>
        <w:t>Restricted pilot only</w:t>
      </w:r>
    </w:p>
    <w:p>
      <w:pPr>
        <w:spacing w:after="60"/>
      </w:pPr>
      <w:r>
        <w:rPr>
          <w:b/>
          <w:color w:val="17324D"/>
        </w:rPr>
        <w:t xml:space="preserve">AI Act position: </w:t>
      </w:r>
      <w:r>
        <w:t>No clear Annex III classification. Art. 4 applies. Product-route high-risk status is conditional on integration/safety-component facts.</w:t>
      </w:r>
    </w:p>
    <w:p>
      <w:pPr>
        <w:spacing w:after="60"/>
      </w:pPr>
      <w:r>
        <w:rPr>
          <w:b/>
          <w:color w:val="17324D"/>
        </w:rPr>
        <w:t xml:space="preserve">Other legal layers: </w:t>
      </w:r>
      <w:r>
        <w:t>Machinery safety; potential AI Act Art. 6(1); CRA if product-integrated; GDPR if personal data appear; IP/confidentiality.</w:t>
      </w:r>
    </w:p>
    <w:p>
      <w:pPr>
        <w:spacing w:after="60"/>
      </w:pPr>
      <w:r>
        <w:rPr>
          <w:b/>
          <w:color w:val="17324D"/>
        </w:rPr>
        <w:t xml:space="preserve">Voluntary guidance: </w:t>
      </w:r>
      <w:r>
        <w:t>NIST AI RMF + GenAI Profile; ISO 42001/23894/27001; ENISA; SP 800-218A.</w:t>
      </w:r>
    </w:p>
    <w:p>
      <w:pPr>
        <w:spacing w:after="60"/>
      </w:pPr>
      <w:r>
        <w:rPr>
          <w:b/>
          <w:color w:val="17324D"/>
        </w:rPr>
        <w:t xml:space="preserve">Required Duckworks response: </w:t>
      </w:r>
      <w:r>
        <w:t>Confirm engineer authority; validate product/safety role; design validation; IP/data controls; no autonomous production release.</w:t>
      </w:r>
    </w:p>
    <w:p>
      <w:pPr>
        <w:keepNext/>
      </w:pPr>
      <w:r>
        <w:rPr>
          <w:b/>
          <w:color w:val="17324D"/>
          <w:sz w:val="24"/>
        </w:rPr>
        <w:t>AI-002 - QuackBot</w:t>
      </w:r>
    </w:p>
    <w:p>
      <w:pPr>
        <w:spacing w:after="60"/>
      </w:pPr>
      <w:r>
        <w:rPr>
          <w:b/>
          <w:color w:val="17324D"/>
        </w:rPr>
        <w:t xml:space="preserve">Purpose: </w:t>
      </w:r>
      <w:r>
        <w:t>Customer support</w:t>
      </w:r>
    </w:p>
    <w:p>
      <w:pPr>
        <w:spacing w:after="60"/>
      </w:pPr>
      <w:r>
        <w:rPr>
          <w:b/>
          <w:color w:val="17324D"/>
        </w:rPr>
        <w:t xml:space="preserve">Current governance gate: </w:t>
      </w:r>
      <w:r>
        <w:t>Production blocked pending gates</w:t>
      </w:r>
    </w:p>
    <w:p>
      <w:pPr>
        <w:spacing w:after="60"/>
      </w:pPr>
      <w:r>
        <w:rPr>
          <w:b/>
          <w:color w:val="17324D"/>
        </w:rPr>
        <w:t xml:space="preserve">AI Act position: </w:t>
      </w:r>
      <w:r>
        <w:t>Article 50(1) transparency is an immediate priority. Art. 4 applies. No clear Annex III high-risk route on current facts.</w:t>
      </w:r>
    </w:p>
    <w:p>
      <w:pPr>
        <w:spacing w:after="60"/>
      </w:pPr>
      <w:r>
        <w:rPr>
          <w:b/>
          <w:color w:val="17324D"/>
        </w:rPr>
        <w:t xml:space="preserve">Other legal layers: </w:t>
      </w:r>
      <w:r>
        <w:t>GDPR where customer data processed; Article 50; possible provider-side synthetic-content marking; NIS2 organizational security.</w:t>
      </w:r>
    </w:p>
    <w:p>
      <w:pPr>
        <w:spacing w:after="60"/>
      </w:pPr>
      <w:r>
        <w:rPr>
          <w:b/>
          <w:color w:val="17324D"/>
        </w:rPr>
        <w:t xml:space="preserve">Voluntary guidance: </w:t>
      </w:r>
      <w:r>
        <w:t>NIST GenAI Profile; ISO 42001/23894/27001; ENISA; OWASP GenAI.</w:t>
      </w:r>
    </w:p>
    <w:p>
      <w:pPr>
        <w:spacing w:after="60"/>
      </w:pPr>
      <w:r>
        <w:rPr>
          <w:b/>
          <w:color w:val="17324D"/>
        </w:rPr>
        <w:t xml:space="preserve">Required Duckworks response: </w:t>
      </w:r>
      <w:r>
        <w:t>Implement AI disclosure, prompt/RAG security testing, safe escalation, content boundaries, privacy controls, monitoring and complaint handling.</w:t>
      </w:r>
    </w:p>
    <w:p>
      <w:pPr>
        <w:keepNext/>
      </w:pPr>
      <w:r>
        <w:rPr>
          <w:b/>
          <w:color w:val="17324D"/>
          <w:sz w:val="24"/>
        </w:rPr>
        <w:t>AI-003 - FeatherForecast</w:t>
      </w:r>
    </w:p>
    <w:p>
      <w:pPr>
        <w:spacing w:after="60"/>
      </w:pPr>
      <w:r>
        <w:rPr>
          <w:b/>
          <w:color w:val="17324D"/>
        </w:rPr>
        <w:t xml:space="preserve">Purpose: </w:t>
      </w:r>
      <w:r>
        <w:t>Supply-chain forecasting</w:t>
      </w:r>
    </w:p>
    <w:p>
      <w:pPr>
        <w:spacing w:after="60"/>
      </w:pPr>
      <w:r>
        <w:rPr>
          <w:b/>
          <w:color w:val="17324D"/>
        </w:rPr>
        <w:t xml:space="preserve">Current governance gate: </w:t>
      </w:r>
      <w:r>
        <w:t>Continue with monitoring</w:t>
      </w:r>
    </w:p>
    <w:p>
      <w:pPr>
        <w:spacing w:after="60"/>
      </w:pPr>
      <w:r>
        <w:rPr>
          <w:b/>
          <w:color w:val="17324D"/>
        </w:rPr>
        <w:t xml:space="preserve">AI Act position: </w:t>
      </w:r>
      <w:r>
        <w:t>No current fact places it in Annex III or the product high-risk route. Art. 4 applies.</w:t>
      </w:r>
    </w:p>
    <w:p>
      <w:pPr>
        <w:spacing w:after="60"/>
      </w:pPr>
      <w:r>
        <w:rPr>
          <w:b/>
          <w:color w:val="17324D"/>
        </w:rPr>
        <w:t xml:space="preserve">Other legal layers: </w:t>
      </w:r>
      <w:r>
        <w:t>NIS2 organizational cybersecurity if Duckworks in scope; GDPR only if personal data are introduced.</w:t>
      </w:r>
    </w:p>
    <w:p>
      <w:pPr>
        <w:spacing w:after="60"/>
      </w:pPr>
      <w:r>
        <w:rPr>
          <w:b/>
          <w:color w:val="17324D"/>
        </w:rPr>
        <w:t xml:space="preserve">Voluntary guidance: </w:t>
      </w:r>
      <w:r>
        <w:t>NIST AI RMF; ISO 42001/23894/27001; ISO 31000.</w:t>
      </w:r>
    </w:p>
    <w:p>
      <w:pPr>
        <w:spacing w:after="60"/>
      </w:pPr>
      <w:r>
        <w:rPr>
          <w:b/>
          <w:color w:val="17324D"/>
        </w:rPr>
        <w:t xml:space="preserve">Required Duckworks response: </w:t>
      </w:r>
      <w:r>
        <w:t>Maintain manager approval for material commitments, drift/performance monitoring and data-quality controls.</w:t>
      </w:r>
    </w:p>
    <w:p>
      <w:pPr>
        <w:keepNext/>
      </w:pPr>
      <w:r>
        <w:rPr>
          <w:b/>
          <w:color w:val="17324D"/>
          <w:sz w:val="24"/>
        </w:rPr>
        <w:t>AI-004 - WingInspect Vision</w:t>
      </w:r>
    </w:p>
    <w:p>
      <w:pPr>
        <w:spacing w:after="60"/>
      </w:pPr>
      <w:r>
        <w:rPr>
          <w:b/>
          <w:color w:val="17324D"/>
        </w:rPr>
        <w:t xml:space="preserve">Purpose: </w:t>
      </w:r>
      <w:r>
        <w:t>Manufacturing defect detection</w:t>
      </w:r>
    </w:p>
    <w:p>
      <w:pPr>
        <w:spacing w:after="60"/>
      </w:pPr>
      <w:r>
        <w:rPr>
          <w:b/>
          <w:color w:val="17324D"/>
        </w:rPr>
        <w:t xml:space="preserve">Current governance gate: </w:t>
      </w:r>
      <w:r>
        <w:t>Restricted pilot only</w:t>
      </w:r>
    </w:p>
    <w:p>
      <w:pPr>
        <w:spacing w:after="60"/>
      </w:pPr>
      <w:r>
        <w:rPr>
          <w:b/>
          <w:color w:val="17324D"/>
        </w:rPr>
        <w:t xml:space="preserve">AI Act position: </w:t>
      </w:r>
      <w:r>
        <w:t>Not automatically AI Act high-risk. Product-route classification depends on whether it is a covered product/safety component requiring third-party conformity assessment. Art. 4 applies.</w:t>
      </w:r>
    </w:p>
    <w:p>
      <w:pPr>
        <w:spacing w:after="60"/>
      </w:pPr>
      <w:r>
        <w:rPr>
          <w:b/>
          <w:color w:val="17324D"/>
        </w:rPr>
        <w:t xml:space="preserve">Other legal layers: </w:t>
      </w:r>
      <w:r>
        <w:t>Machinery/product safety; CRA if product-integrated; AI Act Art. 6(1) conditional.</w:t>
      </w:r>
    </w:p>
    <w:p>
      <w:pPr>
        <w:spacing w:after="60"/>
      </w:pPr>
      <w:r>
        <w:rPr>
          <w:b/>
          <w:color w:val="17324D"/>
        </w:rPr>
        <w:t xml:space="preserve">Voluntary guidance: </w:t>
      </w:r>
      <w:r>
        <w:t>NIST AI RMF; ISO 42001/23894/27001; ENISA; SP 800-218A.</w:t>
      </w:r>
    </w:p>
    <w:p>
      <w:pPr>
        <w:spacing w:after="60"/>
      </w:pPr>
      <w:r>
        <w:rPr>
          <w:b/>
          <w:color w:val="17324D"/>
        </w:rPr>
        <w:t xml:space="preserve">Required Duckworks response: </w:t>
      </w:r>
      <w:r>
        <w:t>Human inspector remains final authority; false-negative testing; validate safety dependence; trace quality decisions.</w:t>
      </w:r>
    </w:p>
    <w:p>
      <w:pPr>
        <w:keepNext/>
      </w:pPr>
      <w:r>
        <w:rPr>
          <w:b/>
          <w:color w:val="17324D"/>
          <w:sz w:val="24"/>
        </w:rPr>
        <w:t>AI-005 - DuckTalent AI</w:t>
      </w:r>
    </w:p>
    <w:p>
      <w:pPr>
        <w:spacing w:after="60"/>
      </w:pPr>
      <w:r>
        <w:rPr>
          <w:b/>
          <w:color w:val="17324D"/>
        </w:rPr>
        <w:t xml:space="preserve">Purpose: </w:t>
      </w:r>
      <w:r>
        <w:t>Recruitment screening and ranking</w:t>
      </w:r>
    </w:p>
    <w:p>
      <w:pPr>
        <w:spacing w:after="60"/>
      </w:pPr>
      <w:r>
        <w:rPr>
          <w:b/>
          <w:color w:val="17324D"/>
        </w:rPr>
        <w:t xml:space="preserve">Current governance gate: </w:t>
      </w:r>
      <w:r>
        <w:t>Do not deploy in current state</w:t>
      </w:r>
    </w:p>
    <w:p>
      <w:pPr>
        <w:spacing w:after="60"/>
      </w:pPr>
      <w:r>
        <w:rPr>
          <w:b/>
          <w:color w:val="17324D"/>
        </w:rPr>
        <w:t xml:space="preserve">AI Act position: </w:t>
      </w:r>
      <w:r>
        <w:t>Very likely Annex III point 4(a) high-risk; future Arts. 8-26 duties. Art. 4 applies now. Art. 27 FRIA probably not mandatory on current facts.</w:t>
      </w:r>
    </w:p>
    <w:p>
      <w:pPr>
        <w:spacing w:after="60"/>
      </w:pPr>
      <w:r>
        <w:rPr>
          <w:b/>
          <w:color w:val="17324D"/>
        </w:rPr>
        <w:t xml:space="preserve">Other legal layers: </w:t>
      </w:r>
      <w:r>
        <w:t>GDPR; DPIA screening/likely DPIA; employment/equality law; future AI Act high-risk duties; worker information.</w:t>
      </w:r>
    </w:p>
    <w:p>
      <w:pPr>
        <w:spacing w:after="60"/>
      </w:pPr>
      <w:r>
        <w:rPr>
          <w:b/>
          <w:color w:val="17324D"/>
        </w:rPr>
        <w:t xml:space="preserve">Voluntary guidance: </w:t>
      </w:r>
      <w:r>
        <w:t>NIST AI RMF; ISO 42001/23894/42005/27001; EDPB guidance.</w:t>
      </w:r>
    </w:p>
    <w:p>
      <w:pPr>
        <w:spacing w:after="60"/>
      </w:pPr>
      <w:r>
        <w:rPr>
          <w:b/>
          <w:color w:val="17324D"/>
        </w:rPr>
        <w:t xml:space="preserve">Required Duckworks response: </w:t>
      </w:r>
      <w:r>
        <w:t>Legal classification; DPIA; fairness/bias testing; meaningful human review; transparency/contestability; logs; documentation; future conformity readiness.</w:t>
      </w:r>
    </w:p>
    <w:p>
      <w:pPr>
        <w:keepNext/>
      </w:pPr>
      <w:r>
        <w:rPr>
          <w:b/>
          <w:color w:val="17324D"/>
          <w:sz w:val="24"/>
        </w:rPr>
        <w:t>AI-006 - PondGPT</w:t>
      </w:r>
    </w:p>
    <w:p>
      <w:pPr>
        <w:spacing w:after="60"/>
      </w:pPr>
      <w:r>
        <w:rPr>
          <w:b/>
          <w:color w:val="17324D"/>
        </w:rPr>
        <w:t xml:space="preserve">Purpose: </w:t>
      </w:r>
      <w:r>
        <w:t>Internal employee AI assistant</w:t>
      </w:r>
    </w:p>
    <w:p>
      <w:pPr>
        <w:spacing w:after="60"/>
      </w:pPr>
      <w:r>
        <w:rPr>
          <w:b/>
          <w:color w:val="17324D"/>
        </w:rPr>
        <w:t xml:space="preserve">Current governance gate: </w:t>
      </w:r>
      <w:r>
        <w:t>Restricted pilot only</w:t>
      </w:r>
    </w:p>
    <w:p>
      <w:pPr>
        <w:spacing w:after="60"/>
      </w:pPr>
      <w:r>
        <w:rPr>
          <w:b/>
          <w:color w:val="17324D"/>
        </w:rPr>
        <w:t xml:space="preserve">AI Act position: </w:t>
      </w:r>
      <w:r>
        <w:t>Art. 4 applies. Art. 50(1) may apply depending provider status and obvious-interaction exception. No clear Annex III route on current facts.</w:t>
      </w:r>
    </w:p>
    <w:p>
      <w:pPr>
        <w:spacing w:after="60"/>
      </w:pPr>
      <w:r>
        <w:rPr>
          <w:b/>
          <w:color w:val="17324D"/>
        </w:rPr>
        <w:t xml:space="preserve">Other legal layers: </w:t>
      </w:r>
      <w:r>
        <w:t>GDPR; confidentiality/IP; third-party/vendor; NIS2 organizational cybersecurity.</w:t>
      </w:r>
    </w:p>
    <w:p>
      <w:pPr>
        <w:spacing w:after="60"/>
      </w:pPr>
      <w:r>
        <w:rPr>
          <w:b/>
          <w:color w:val="17324D"/>
        </w:rPr>
        <w:t xml:space="preserve">Voluntary guidance: </w:t>
      </w:r>
      <w:r>
        <w:t>NIST GenAI Profile; ISO 42001/23894/27001; ENISA; OWASP GenAI.</w:t>
      </w:r>
    </w:p>
    <w:p>
      <w:pPr>
        <w:spacing w:after="60"/>
      </w:pPr>
      <w:r>
        <w:rPr>
          <w:b/>
          <w:color w:val="17324D"/>
        </w:rPr>
        <w:t xml:space="preserve">Required Duckworks response: </w:t>
      </w:r>
      <w:r>
        <w:t>Enterprise authorization boundaries; sensitive repository exclusions; prompt/RAG security; logging; acceptable-use controls; vendor terms.</w:t>
      </w:r>
    </w:p>
    <w:p>
      <w:pPr>
        <w:keepNext/>
      </w:pPr>
      <w:r>
        <w:rPr>
          <w:b/>
          <w:color w:val="17324D"/>
          <w:sz w:val="24"/>
        </w:rPr>
        <w:t>AI-007 - Unregistered GenAI Usage</w:t>
      </w:r>
    </w:p>
    <w:p>
      <w:pPr>
        <w:spacing w:after="60"/>
      </w:pPr>
      <w:r>
        <w:rPr>
          <w:b/>
          <w:color w:val="17324D"/>
        </w:rPr>
        <w:t xml:space="preserve">Purpose: </w:t>
      </w:r>
      <w:r>
        <w:t>Shadow/uncontrolled employee AI use</w:t>
      </w:r>
    </w:p>
    <w:p>
      <w:pPr>
        <w:spacing w:after="60"/>
      </w:pPr>
      <w:r>
        <w:rPr>
          <w:b/>
          <w:color w:val="17324D"/>
        </w:rPr>
        <w:t xml:space="preserve">Current governance gate: </w:t>
      </w:r>
      <w:r>
        <w:t>Immediate containment</w:t>
      </w:r>
    </w:p>
    <w:p>
      <w:pPr>
        <w:spacing w:after="60"/>
      </w:pPr>
      <w:r>
        <w:rPr>
          <w:b/>
          <w:color w:val="17324D"/>
        </w:rPr>
        <w:t xml:space="preserve">AI Act position: </w:t>
      </w:r>
      <w:r>
        <w:t>Not one homogeneous AI system; a discovery condition containing multiple unknown use cases. Art. 4 still matters.</w:t>
      </w:r>
    </w:p>
    <w:p>
      <w:pPr>
        <w:spacing w:after="60"/>
      </w:pPr>
      <w:r>
        <w:rPr>
          <w:b/>
          <w:color w:val="17324D"/>
        </w:rPr>
        <w:t xml:space="preserve">Other legal layers: </w:t>
      </w:r>
      <w:r>
        <w:t>GDPR, confidentiality, IP, security, procurement and contractual duties depend on each discovered use case.</w:t>
      </w:r>
    </w:p>
    <w:p>
      <w:pPr>
        <w:spacing w:after="60"/>
      </w:pPr>
      <w:r>
        <w:rPr>
          <w:b/>
          <w:color w:val="17324D"/>
        </w:rPr>
        <w:t xml:space="preserve">Voluntary guidance: </w:t>
      </w:r>
      <w:r>
        <w:t>NIST GenAI Profile; ISO 42001/27001; ENISA; OWASP GenAI.</w:t>
      </w:r>
    </w:p>
    <w:p>
      <w:pPr>
        <w:spacing w:after="60"/>
      </w:pPr>
      <w:r>
        <w:rPr>
          <w:b/>
          <w:color w:val="17324D"/>
        </w:rPr>
        <w:t xml:space="preserve">Required Duckworks response: </w:t>
      </w:r>
      <w:r>
        <w:t>Discover and decompose uses, prevent restricted-data uploads, approve tools, register material use cases, investigate suspected exposures and train users.</w:t>
      </w:r>
    </w:p>
    <w:p>
      <w:pPr>
        <w:pStyle w:val="Heading1"/>
        <w:keepNext/>
      </w:pPr>
      <w:r>
        <w:t>6. Governance Practices: Correct Legal Characterization</w:t>
      </w:r>
    </w:p>
    <w:tbl>
      <w:tblPr>
        <w:tblW w:type="auto" w:w="0"/>
        <w:jc w:val="center"/>
        <w:tblLayout w:type="fixed"/>
        <w:tblLook w:firstColumn="1" w:firstRow="1" w:lastColumn="0" w:lastRow="0" w:noHBand="0" w:noVBand="1" w:val="04A0"/>
      </w:tblPr>
      <w:tblGrid>
        <w:gridCol w:w="1979"/>
        <w:gridCol w:w="1979"/>
        <w:gridCol w:w="1979"/>
        <w:gridCol w:w="1979"/>
        <w:gridCol w:w="1979"/>
      </w:tblGrid>
      <w:tr>
        <w:tc>
          <w:tcPr>
            <w:tcW w:type="dxa" w:w="792"/>
            <w:tcMar>
              <w:top w:w="80" w:type="dxa"/>
              <w:start w:w="100" w:type="dxa"/>
              <w:bottom w:w="80" w:type="dxa"/>
              <w:end w:w="100" w:type="dxa"/>
            </w:tcMar>
            <w:vAlign w:val="center"/>
            <w:shd w:fill="17324D"/>
          </w:tcPr>
          <w:p>
            <w:pPr>
              <w:spacing w:after="0"/>
            </w:pPr>
            <w:r/>
            <w:r>
              <w:rPr>
                <w:rFonts w:ascii="Aptos" w:hAnsi="Aptos"/>
                <w:b/>
                <w:color w:val="FFFFFF"/>
                <w:sz w:val="14"/>
              </w:rPr>
              <w:t>ID</w:t>
            </w:r>
          </w:p>
        </w:tc>
        <w:tc>
          <w:tcPr>
            <w:tcW w:type="dxa" w:w="1800"/>
            <w:tcMar>
              <w:top w:w="80" w:type="dxa"/>
              <w:start w:w="100" w:type="dxa"/>
              <w:bottom w:w="80" w:type="dxa"/>
              <w:end w:w="100" w:type="dxa"/>
            </w:tcMar>
            <w:vAlign w:val="center"/>
            <w:shd w:fill="17324D"/>
          </w:tcPr>
          <w:p>
            <w:pPr>
              <w:spacing w:after="0"/>
            </w:pPr>
            <w:r/>
            <w:r>
              <w:rPr>
                <w:rFonts w:ascii="Aptos" w:hAnsi="Aptos"/>
                <w:b/>
                <w:color w:val="FFFFFF"/>
                <w:sz w:val="14"/>
              </w:rPr>
              <w:t>Practice</w:t>
            </w:r>
          </w:p>
        </w:tc>
        <w:tc>
          <w:tcPr>
            <w:tcW w:type="dxa" w:w="3456"/>
            <w:tcMar>
              <w:top w:w="80" w:type="dxa"/>
              <w:start w:w="100" w:type="dxa"/>
              <w:bottom w:w="80" w:type="dxa"/>
              <w:end w:w="100" w:type="dxa"/>
            </w:tcMar>
            <w:vAlign w:val="center"/>
            <w:shd w:fill="17324D"/>
          </w:tcPr>
          <w:p>
            <w:pPr>
              <w:spacing w:after="0"/>
            </w:pPr>
            <w:r/>
            <w:r>
              <w:rPr>
                <w:rFonts w:ascii="Aptos" w:hAnsi="Aptos"/>
                <w:b/>
                <w:color w:val="FFFFFF"/>
                <w:sz w:val="14"/>
              </w:rPr>
              <w:t>Correct characterization</w:t>
            </w:r>
          </w:p>
        </w:tc>
        <w:tc>
          <w:tcPr>
            <w:tcW w:type="dxa" w:w="2880"/>
            <w:tcMar>
              <w:top w:w="80" w:type="dxa"/>
              <w:start w:w="100" w:type="dxa"/>
              <w:bottom w:w="80" w:type="dxa"/>
              <w:end w:w="100" w:type="dxa"/>
            </w:tcMar>
            <w:vAlign w:val="center"/>
            <w:shd w:fill="17324D"/>
          </w:tcPr>
          <w:p>
            <w:pPr>
              <w:spacing w:after="0"/>
            </w:pPr>
            <w:r/>
            <w:r>
              <w:rPr>
                <w:rFonts w:ascii="Aptos" w:hAnsi="Aptos"/>
                <w:b/>
                <w:color w:val="FFFFFF"/>
                <w:sz w:val="14"/>
              </w:rPr>
              <w:t>Portfolio treatment</w:t>
            </w:r>
          </w:p>
        </w:tc>
        <w:tc>
          <w:tcPr>
            <w:tcW w:type="dxa" w:w="1800"/>
            <w:tcMar>
              <w:top w:w="80" w:type="dxa"/>
              <w:start w:w="100" w:type="dxa"/>
              <w:bottom w:w="80" w:type="dxa"/>
              <w:end w:w="100" w:type="dxa"/>
            </w:tcMar>
            <w:vAlign w:val="center"/>
            <w:shd w:fill="17324D"/>
          </w:tcPr>
          <w:p>
            <w:pPr>
              <w:spacing w:after="0"/>
            </w:pPr>
            <w:r/>
            <w:r>
              <w:rPr>
                <w:rFonts w:ascii="Aptos" w:hAnsi="Aptos"/>
                <w:b/>
                <w:color w:val="FFFFFF"/>
                <w:sz w:val="14"/>
              </w:rPr>
              <w:t>Reason</w:t>
            </w:r>
          </w:p>
        </w:tc>
      </w:tr>
      <w:tr>
        <w:tc>
          <w:tcPr>
            <w:tcW w:type="dxa" w:w="792"/>
            <w:tcMar>
              <w:top w:w="80" w:type="dxa"/>
              <w:start w:w="100" w:type="dxa"/>
              <w:bottom w:w="80" w:type="dxa"/>
              <w:end w:w="100" w:type="dxa"/>
            </w:tcMar>
            <w:vAlign w:val="center"/>
            <w:shd w:fill="FFFFFF"/>
          </w:tcPr>
          <w:p>
            <w:pPr>
              <w:spacing w:after="0"/>
            </w:pPr>
            <w:r/>
            <w:r>
              <w:rPr>
                <w:rFonts w:ascii="Aptos" w:hAnsi="Aptos"/>
                <w:b w:val="0"/>
                <w:color w:val="222222"/>
                <w:sz w:val="14"/>
              </w:rPr>
              <w:t>IP-01</w:t>
            </w:r>
          </w:p>
        </w:tc>
        <w:tc>
          <w:tcPr>
            <w:tcW w:type="dxa" w:w="1800"/>
            <w:tcMar>
              <w:top w:w="80" w:type="dxa"/>
              <w:start w:w="100" w:type="dxa"/>
              <w:bottom w:w="80" w:type="dxa"/>
              <w:end w:w="100" w:type="dxa"/>
            </w:tcMar>
            <w:vAlign w:val="center"/>
            <w:shd w:fill="FFFFFF"/>
          </w:tcPr>
          <w:p>
            <w:pPr>
              <w:spacing w:after="0"/>
            </w:pPr>
            <w:r/>
            <w:r>
              <w:rPr>
                <w:rFonts w:ascii="Aptos" w:hAnsi="Aptos"/>
                <w:b w:val="0"/>
                <w:color w:val="222222"/>
                <w:sz w:val="14"/>
              </w:rPr>
              <w:t>Central AI inventory</w:t>
            </w:r>
          </w:p>
        </w:tc>
        <w:tc>
          <w:tcPr>
            <w:tcW w:type="dxa" w:w="3456"/>
            <w:tcMar>
              <w:top w:w="80" w:type="dxa"/>
              <w:start w:w="100" w:type="dxa"/>
              <w:bottom w:w="80" w:type="dxa"/>
              <w:end w:w="100" w:type="dxa"/>
            </w:tcMar>
            <w:vAlign w:val="center"/>
            <w:shd w:fill="FFFFFF"/>
          </w:tcPr>
          <w:p>
            <w:pPr>
              <w:spacing w:after="0"/>
            </w:pPr>
            <w:r/>
            <w:r>
              <w:rPr>
                <w:rFonts w:ascii="Aptos" w:hAnsi="Aptos"/>
                <w:b w:val="0"/>
                <w:color w:val="222222"/>
                <w:sz w:val="14"/>
              </w:rPr>
              <w:t>Recommended organizational practice; specific legal documentation/registration duties exist for defined categories, but there is no single blanket AI Act duty to inventory every low-risk internal AI system.</w:t>
            </w:r>
          </w:p>
        </w:tc>
        <w:tc>
          <w:tcPr>
            <w:tcW w:type="dxa" w:w="2880"/>
            <w:tcMar>
              <w:top w:w="80" w:type="dxa"/>
              <w:start w:w="100" w:type="dxa"/>
              <w:bottom w:w="80" w:type="dxa"/>
              <w:end w:w="100" w:type="dxa"/>
            </w:tcMar>
            <w:vAlign w:val="center"/>
            <w:shd w:fill="FFFFFF"/>
          </w:tcPr>
          <w:p>
            <w:pPr>
              <w:spacing w:after="0"/>
            </w:pPr>
            <w:r/>
            <w:r>
              <w:rPr>
                <w:rFonts w:ascii="Aptos" w:hAnsi="Aptos"/>
                <w:b w:val="0"/>
                <w:color w:val="222222"/>
                <w:sz w:val="14"/>
              </w:rPr>
              <w:t>Retain as core Duckworks control.</w:t>
            </w:r>
          </w:p>
        </w:tc>
        <w:tc>
          <w:tcPr>
            <w:tcW w:type="dxa" w:w="1800"/>
            <w:tcMar>
              <w:top w:w="80" w:type="dxa"/>
              <w:start w:w="100" w:type="dxa"/>
              <w:bottom w:w="80" w:type="dxa"/>
              <w:end w:w="100" w:type="dxa"/>
            </w:tcMar>
            <w:vAlign w:val="center"/>
            <w:shd w:fill="FFFFFF"/>
          </w:tcPr>
          <w:p>
            <w:pPr>
              <w:spacing w:after="0"/>
            </w:pPr>
            <w:r/>
            <w:r>
              <w:rPr>
                <w:rFonts w:ascii="Aptos" w:hAnsi="Aptos"/>
                <w:b w:val="0"/>
                <w:color w:val="222222"/>
                <w:sz w:val="14"/>
              </w:rPr>
              <w:t>NIST/ISO aligned; supports legal scoping and evidence.</w:t>
            </w:r>
          </w:p>
        </w:tc>
      </w:tr>
      <w:tr>
        <w:tc>
          <w:tcPr>
            <w:tcW w:type="dxa" w:w="792"/>
            <w:tcMar>
              <w:top w:w="80" w:type="dxa"/>
              <w:start w:w="100" w:type="dxa"/>
              <w:bottom w:w="80" w:type="dxa"/>
              <w:end w:w="100" w:type="dxa"/>
            </w:tcMar>
            <w:vAlign w:val="center"/>
            <w:shd w:fill="F5F7F9"/>
          </w:tcPr>
          <w:p>
            <w:pPr>
              <w:spacing w:after="0"/>
            </w:pPr>
            <w:r/>
            <w:r>
              <w:rPr>
                <w:rFonts w:ascii="Aptos" w:hAnsi="Aptos"/>
                <w:b w:val="0"/>
                <w:color w:val="222222"/>
                <w:sz w:val="14"/>
              </w:rPr>
              <w:t>IP-02</w:t>
            </w:r>
          </w:p>
        </w:tc>
        <w:tc>
          <w:tcPr>
            <w:tcW w:type="dxa" w:w="1800"/>
            <w:tcMar>
              <w:top w:w="80" w:type="dxa"/>
              <w:start w:w="100" w:type="dxa"/>
              <w:bottom w:w="80" w:type="dxa"/>
              <w:end w:w="100" w:type="dxa"/>
            </w:tcMar>
            <w:vAlign w:val="center"/>
            <w:shd w:fill="F5F7F9"/>
          </w:tcPr>
          <w:p>
            <w:pPr>
              <w:spacing w:after="0"/>
            </w:pPr>
            <w:r/>
            <w:r>
              <w:rPr>
                <w:rFonts w:ascii="Aptos" w:hAnsi="Aptos"/>
                <w:b w:val="0"/>
                <w:color w:val="222222"/>
                <w:sz w:val="14"/>
              </w:rPr>
              <w:t>AI Governance Committee</w:t>
            </w:r>
          </w:p>
        </w:tc>
        <w:tc>
          <w:tcPr>
            <w:tcW w:type="dxa" w:w="3456"/>
            <w:tcMar>
              <w:top w:w="80" w:type="dxa"/>
              <w:start w:w="100" w:type="dxa"/>
              <w:bottom w:w="80" w:type="dxa"/>
              <w:end w:w="100" w:type="dxa"/>
            </w:tcMar>
            <w:vAlign w:val="center"/>
            <w:shd w:fill="F5F7F9"/>
          </w:tcPr>
          <w:p>
            <w:pPr>
              <w:spacing w:after="0"/>
            </w:pPr>
            <w:r/>
            <w:r>
              <w:rPr>
                <w:rFonts w:ascii="Aptos" w:hAnsi="Aptos"/>
                <w:b w:val="0"/>
                <w:color w:val="222222"/>
                <w:sz w:val="14"/>
              </w:rPr>
              <w:t>Recommended organizational practice; Article 4 does not mandate a specific AI officer or governance board.</w:t>
            </w:r>
          </w:p>
        </w:tc>
        <w:tc>
          <w:tcPr>
            <w:tcW w:type="dxa" w:w="2880"/>
            <w:tcMar>
              <w:top w:w="80" w:type="dxa"/>
              <w:start w:w="100" w:type="dxa"/>
              <w:bottom w:w="80" w:type="dxa"/>
              <w:end w:w="100" w:type="dxa"/>
            </w:tcMar>
            <w:vAlign w:val="center"/>
            <w:shd w:fill="F5F7F9"/>
          </w:tcPr>
          <w:p>
            <w:pPr>
              <w:spacing w:after="0"/>
            </w:pPr>
            <w:r/>
            <w:r>
              <w:rPr>
                <w:rFonts w:ascii="Aptos" w:hAnsi="Aptos"/>
                <w:b w:val="0"/>
                <w:color w:val="222222"/>
                <w:sz w:val="14"/>
              </w:rPr>
              <w:t>Retain because Duckworks needs cross-functional decision rights.</w:t>
            </w:r>
          </w:p>
        </w:tc>
        <w:tc>
          <w:tcPr>
            <w:tcW w:type="dxa" w:w="1800"/>
            <w:tcMar>
              <w:top w:w="80" w:type="dxa"/>
              <w:start w:w="100" w:type="dxa"/>
              <w:bottom w:w="80" w:type="dxa"/>
              <w:end w:w="100" w:type="dxa"/>
            </w:tcMar>
            <w:vAlign w:val="center"/>
            <w:shd w:fill="F5F7F9"/>
          </w:tcPr>
          <w:p>
            <w:pPr>
              <w:spacing w:after="0"/>
            </w:pPr>
            <w:r/>
            <w:r>
              <w:rPr>
                <w:rFonts w:ascii="Aptos" w:hAnsi="Aptos"/>
                <w:b w:val="0"/>
                <w:color w:val="222222"/>
                <w:sz w:val="14"/>
              </w:rPr>
              <w:t>Commission AI literacy Q&amp;A confirms no specific governance structure is mandated for Art. 4.</w:t>
            </w:r>
          </w:p>
        </w:tc>
      </w:tr>
      <w:tr>
        <w:tc>
          <w:tcPr>
            <w:tcW w:type="dxa" w:w="792"/>
            <w:tcMar>
              <w:top w:w="80" w:type="dxa"/>
              <w:start w:w="100" w:type="dxa"/>
              <w:bottom w:w="80" w:type="dxa"/>
              <w:end w:w="100" w:type="dxa"/>
            </w:tcMar>
            <w:vAlign w:val="center"/>
            <w:shd w:fill="FFFFFF"/>
          </w:tcPr>
          <w:p>
            <w:pPr>
              <w:spacing w:after="0"/>
            </w:pPr>
            <w:r/>
            <w:r>
              <w:rPr>
                <w:rFonts w:ascii="Aptos" w:hAnsi="Aptos"/>
                <w:b w:val="0"/>
                <w:color w:val="222222"/>
                <w:sz w:val="14"/>
              </w:rPr>
              <w:t>IP-03</w:t>
            </w:r>
          </w:p>
        </w:tc>
        <w:tc>
          <w:tcPr>
            <w:tcW w:type="dxa" w:w="1800"/>
            <w:tcMar>
              <w:top w:w="80" w:type="dxa"/>
              <w:start w:w="100" w:type="dxa"/>
              <w:bottom w:w="80" w:type="dxa"/>
              <w:end w:w="100" w:type="dxa"/>
            </w:tcMar>
            <w:vAlign w:val="center"/>
            <w:shd w:fill="FFFFFF"/>
          </w:tcPr>
          <w:p>
            <w:pPr>
              <w:spacing w:after="0"/>
            </w:pPr>
            <w:r/>
            <w:r>
              <w:rPr>
                <w:rFonts w:ascii="Aptos" w:hAnsi="Aptos"/>
                <w:b w:val="0"/>
                <w:color w:val="222222"/>
                <w:sz w:val="14"/>
              </w:rPr>
              <w:t>AI impact assessment for all seven entries</w:t>
            </w:r>
          </w:p>
        </w:tc>
        <w:tc>
          <w:tcPr>
            <w:tcW w:type="dxa" w:w="3456"/>
            <w:tcMar>
              <w:top w:w="80" w:type="dxa"/>
              <w:start w:w="100" w:type="dxa"/>
              <w:bottom w:w="80" w:type="dxa"/>
              <w:end w:w="100" w:type="dxa"/>
            </w:tcMar>
            <w:vAlign w:val="center"/>
            <w:shd w:fill="FFFFFF"/>
          </w:tcPr>
          <w:p>
            <w:pPr>
              <w:spacing w:after="0"/>
            </w:pPr>
            <w:r/>
            <w:r>
              <w:rPr>
                <w:rFonts w:ascii="Aptos" w:hAnsi="Aptos"/>
                <w:b w:val="0"/>
                <w:color w:val="222222"/>
                <w:sz w:val="14"/>
              </w:rPr>
              <w:t>Internal governance practice informed by ISO/IEC 42005; not automatically an EU AI Act FRIA.</w:t>
            </w:r>
          </w:p>
        </w:tc>
        <w:tc>
          <w:tcPr>
            <w:tcW w:type="dxa" w:w="2880"/>
            <w:tcMar>
              <w:top w:w="80" w:type="dxa"/>
              <w:start w:w="100" w:type="dxa"/>
              <w:bottom w:w="80" w:type="dxa"/>
              <w:end w:w="100" w:type="dxa"/>
            </w:tcMar>
            <w:vAlign w:val="center"/>
            <w:shd w:fill="FFFFFF"/>
          </w:tcPr>
          <w:p>
            <w:pPr>
              <w:spacing w:after="0"/>
            </w:pPr>
            <w:r/>
            <w:r>
              <w:rPr>
                <w:rFonts w:ascii="Aptos" w:hAnsi="Aptos"/>
                <w:b w:val="0"/>
                <w:color w:val="222222"/>
                <w:sz w:val="14"/>
              </w:rPr>
              <w:t>Keep "Duckworks AIA" terminology and separately identify statutory DPIA/FRIA where triggered.</w:t>
            </w:r>
          </w:p>
        </w:tc>
        <w:tc>
          <w:tcPr>
            <w:tcW w:type="dxa" w:w="1800"/>
            <w:tcMar>
              <w:top w:w="80" w:type="dxa"/>
              <w:start w:w="100" w:type="dxa"/>
              <w:bottom w:w="80" w:type="dxa"/>
              <w:end w:w="100" w:type="dxa"/>
            </w:tcMar>
            <w:vAlign w:val="center"/>
            <w:shd w:fill="FFFFFF"/>
          </w:tcPr>
          <w:p>
            <w:pPr>
              <w:spacing w:after="0"/>
            </w:pPr>
            <w:r/>
            <w:r>
              <w:rPr>
                <w:rFonts w:ascii="Aptos" w:hAnsi="Aptos"/>
                <w:b w:val="0"/>
                <w:color w:val="222222"/>
                <w:sz w:val="14"/>
              </w:rPr>
              <w:t>Avoid false legal equivalence.</w:t>
            </w:r>
          </w:p>
        </w:tc>
      </w:tr>
      <w:tr>
        <w:tc>
          <w:tcPr>
            <w:tcW w:type="dxa" w:w="792"/>
            <w:tcMar>
              <w:top w:w="80" w:type="dxa"/>
              <w:start w:w="100" w:type="dxa"/>
              <w:bottom w:w="80" w:type="dxa"/>
              <w:end w:w="100" w:type="dxa"/>
            </w:tcMar>
            <w:vAlign w:val="center"/>
            <w:shd w:fill="F5F7F9"/>
          </w:tcPr>
          <w:p>
            <w:pPr>
              <w:spacing w:after="0"/>
            </w:pPr>
            <w:r/>
            <w:r>
              <w:rPr>
                <w:rFonts w:ascii="Aptos" w:hAnsi="Aptos"/>
                <w:b w:val="0"/>
                <w:color w:val="222222"/>
                <w:sz w:val="14"/>
              </w:rPr>
              <w:t>IP-04</w:t>
            </w:r>
          </w:p>
        </w:tc>
        <w:tc>
          <w:tcPr>
            <w:tcW w:type="dxa" w:w="1800"/>
            <w:tcMar>
              <w:top w:w="80" w:type="dxa"/>
              <w:start w:w="100" w:type="dxa"/>
              <w:bottom w:w="80" w:type="dxa"/>
              <w:end w:w="100" w:type="dxa"/>
            </w:tcMar>
            <w:vAlign w:val="center"/>
            <w:shd w:fill="F5F7F9"/>
          </w:tcPr>
          <w:p>
            <w:pPr>
              <w:spacing w:after="0"/>
            </w:pPr>
            <w:r/>
            <w:r>
              <w:rPr>
                <w:rFonts w:ascii="Aptos" w:hAnsi="Aptos"/>
                <w:b w:val="0"/>
                <w:color w:val="222222"/>
                <w:sz w:val="14"/>
              </w:rPr>
              <w:t>Low/Moderate/High/Critical internal risk ratings</w:t>
            </w:r>
          </w:p>
        </w:tc>
        <w:tc>
          <w:tcPr>
            <w:tcW w:type="dxa" w:w="3456"/>
            <w:tcMar>
              <w:top w:w="80" w:type="dxa"/>
              <w:start w:w="100" w:type="dxa"/>
              <w:bottom w:w="80" w:type="dxa"/>
              <w:end w:w="100" w:type="dxa"/>
            </w:tcMar>
            <w:vAlign w:val="center"/>
            <w:shd w:fill="F5F7F9"/>
          </w:tcPr>
          <w:p>
            <w:pPr>
              <w:spacing w:after="0"/>
            </w:pPr>
            <w:r/>
            <w:r>
              <w:rPr>
                <w:rFonts w:ascii="Aptos" w:hAnsi="Aptos"/>
                <w:b w:val="0"/>
                <w:color w:val="222222"/>
                <w:sz w:val="14"/>
              </w:rPr>
              <w:t>Duckworks enterprise methodology, not EU AI Act legal classification.</w:t>
            </w:r>
          </w:p>
        </w:tc>
        <w:tc>
          <w:tcPr>
            <w:tcW w:type="dxa" w:w="2880"/>
            <w:tcMar>
              <w:top w:w="80" w:type="dxa"/>
              <w:start w:w="100" w:type="dxa"/>
              <w:bottom w:w="80" w:type="dxa"/>
              <w:end w:w="100" w:type="dxa"/>
            </w:tcMar>
            <w:vAlign w:val="center"/>
            <w:shd w:fill="F5F7F9"/>
          </w:tcPr>
          <w:p>
            <w:pPr>
              <w:spacing w:after="0"/>
            </w:pPr>
            <w:r/>
            <w:r>
              <w:rPr>
                <w:rFonts w:ascii="Aptos" w:hAnsi="Aptos"/>
                <w:b w:val="0"/>
                <w:color w:val="222222"/>
                <w:sz w:val="14"/>
              </w:rPr>
              <w:t>Keep terminology strictly separated in all artifacts.</w:t>
            </w:r>
          </w:p>
        </w:tc>
        <w:tc>
          <w:tcPr>
            <w:tcW w:type="dxa" w:w="1800"/>
            <w:tcMar>
              <w:top w:w="80" w:type="dxa"/>
              <w:start w:w="100" w:type="dxa"/>
              <w:bottom w:w="80" w:type="dxa"/>
              <w:end w:w="100" w:type="dxa"/>
            </w:tcMar>
            <w:vAlign w:val="center"/>
            <w:shd w:fill="F5F7F9"/>
          </w:tcPr>
          <w:p>
            <w:pPr>
              <w:spacing w:after="0"/>
            </w:pPr>
            <w:r/>
            <w:r>
              <w:rPr>
                <w:rFonts w:ascii="Aptos" w:hAnsi="Aptos"/>
                <w:b w:val="0"/>
                <w:color w:val="222222"/>
                <w:sz w:val="14"/>
              </w:rPr>
              <w:t>Already a strong project design choice.</w:t>
            </w:r>
          </w:p>
        </w:tc>
      </w:tr>
      <w:tr>
        <w:tc>
          <w:tcPr>
            <w:tcW w:type="dxa" w:w="792"/>
            <w:tcMar>
              <w:top w:w="80" w:type="dxa"/>
              <w:start w:w="100" w:type="dxa"/>
              <w:bottom w:w="80" w:type="dxa"/>
              <w:end w:w="100" w:type="dxa"/>
            </w:tcMar>
            <w:vAlign w:val="center"/>
            <w:shd w:fill="FFFFFF"/>
          </w:tcPr>
          <w:p>
            <w:pPr>
              <w:spacing w:after="0"/>
            </w:pPr>
            <w:r/>
            <w:r>
              <w:rPr>
                <w:rFonts w:ascii="Aptos" w:hAnsi="Aptos"/>
                <w:b w:val="0"/>
                <w:color w:val="222222"/>
                <w:sz w:val="14"/>
              </w:rPr>
              <w:t>IP-05</w:t>
            </w:r>
          </w:p>
        </w:tc>
        <w:tc>
          <w:tcPr>
            <w:tcW w:type="dxa" w:w="1800"/>
            <w:tcMar>
              <w:top w:w="80" w:type="dxa"/>
              <w:start w:w="100" w:type="dxa"/>
              <w:bottom w:w="80" w:type="dxa"/>
              <w:end w:w="100" w:type="dxa"/>
            </w:tcMar>
            <w:vAlign w:val="center"/>
            <w:shd w:fill="FFFFFF"/>
          </w:tcPr>
          <w:p>
            <w:pPr>
              <w:spacing w:after="0"/>
            </w:pPr>
            <w:r/>
            <w:r>
              <w:rPr>
                <w:rFonts w:ascii="Aptos" w:hAnsi="Aptos"/>
                <w:b w:val="0"/>
                <w:color w:val="222222"/>
                <w:sz w:val="14"/>
              </w:rPr>
              <w:t>Human review</w:t>
            </w:r>
          </w:p>
        </w:tc>
        <w:tc>
          <w:tcPr>
            <w:tcW w:type="dxa" w:w="3456"/>
            <w:tcMar>
              <w:top w:w="80" w:type="dxa"/>
              <w:start w:w="100" w:type="dxa"/>
              <w:bottom w:w="80" w:type="dxa"/>
              <w:end w:w="100" w:type="dxa"/>
            </w:tcMar>
            <w:vAlign w:val="center"/>
            <w:shd w:fill="FFFFFF"/>
          </w:tcPr>
          <w:p>
            <w:pPr>
              <w:spacing w:after="0"/>
            </w:pPr>
            <w:r/>
            <w:r>
              <w:rPr>
                <w:rFonts w:ascii="Aptos" w:hAnsi="Aptos"/>
                <w:b w:val="0"/>
                <w:color w:val="222222"/>
                <w:sz w:val="14"/>
              </w:rPr>
              <w:t>Can be a legal requirement for high-risk systems and a recommended control elsewhere.</w:t>
            </w:r>
          </w:p>
        </w:tc>
        <w:tc>
          <w:tcPr>
            <w:tcW w:type="dxa" w:w="2880"/>
            <w:tcMar>
              <w:top w:w="80" w:type="dxa"/>
              <w:start w:w="100" w:type="dxa"/>
              <w:bottom w:w="80" w:type="dxa"/>
              <w:end w:w="100" w:type="dxa"/>
            </w:tcMar>
            <w:vAlign w:val="center"/>
            <w:shd w:fill="FFFFFF"/>
          </w:tcPr>
          <w:p>
            <w:pPr>
              <w:spacing w:after="0"/>
            </w:pPr>
            <w:r/>
            <w:r>
              <w:rPr>
                <w:rFonts w:ascii="Aptos" w:hAnsi="Aptos"/>
                <w:b w:val="0"/>
                <w:color w:val="222222"/>
                <w:sz w:val="14"/>
              </w:rPr>
              <w:t>Specify competence, authority, information, override, escalation and evidence - not merely "human in the loop".</w:t>
            </w:r>
          </w:p>
        </w:tc>
        <w:tc>
          <w:tcPr>
            <w:tcW w:type="dxa" w:w="1800"/>
            <w:tcMar>
              <w:top w:w="80" w:type="dxa"/>
              <w:start w:w="100" w:type="dxa"/>
              <w:bottom w:w="80" w:type="dxa"/>
              <w:end w:w="100" w:type="dxa"/>
            </w:tcMar>
            <w:vAlign w:val="center"/>
            <w:shd w:fill="FFFFFF"/>
          </w:tcPr>
          <w:p>
            <w:pPr>
              <w:spacing w:after="0"/>
            </w:pPr>
            <w:r/>
            <w:r>
              <w:rPr>
                <w:rFonts w:ascii="Aptos" w:hAnsi="Aptos"/>
                <w:b w:val="0"/>
                <w:color w:val="222222"/>
                <w:sz w:val="14"/>
              </w:rPr>
              <w:t>Critical for DuckTalent, DuckDesign and WingInspect.</w:t>
            </w:r>
          </w:p>
        </w:tc>
      </w:tr>
      <w:tr>
        <w:tc>
          <w:tcPr>
            <w:tcW w:type="dxa" w:w="792"/>
            <w:tcMar>
              <w:top w:w="80" w:type="dxa"/>
              <w:start w:w="100" w:type="dxa"/>
              <w:bottom w:w="80" w:type="dxa"/>
              <w:end w:w="100" w:type="dxa"/>
            </w:tcMar>
            <w:vAlign w:val="center"/>
            <w:shd w:fill="F5F7F9"/>
          </w:tcPr>
          <w:p>
            <w:pPr>
              <w:spacing w:after="0"/>
            </w:pPr>
            <w:r/>
            <w:r>
              <w:rPr>
                <w:rFonts w:ascii="Aptos" w:hAnsi="Aptos"/>
                <w:b w:val="0"/>
                <w:color w:val="222222"/>
                <w:sz w:val="14"/>
              </w:rPr>
              <w:t>IP-06</w:t>
            </w:r>
          </w:p>
        </w:tc>
        <w:tc>
          <w:tcPr>
            <w:tcW w:type="dxa" w:w="1800"/>
            <w:tcMar>
              <w:top w:w="80" w:type="dxa"/>
              <w:start w:w="100" w:type="dxa"/>
              <w:bottom w:w="80" w:type="dxa"/>
              <w:end w:w="100" w:type="dxa"/>
            </w:tcMar>
            <w:vAlign w:val="center"/>
            <w:shd w:fill="F5F7F9"/>
          </w:tcPr>
          <w:p>
            <w:pPr>
              <w:spacing w:after="0"/>
            </w:pPr>
            <w:r/>
            <w:r>
              <w:rPr>
                <w:rFonts w:ascii="Aptos" w:hAnsi="Aptos"/>
                <w:b w:val="0"/>
                <w:color w:val="222222"/>
                <w:sz w:val="14"/>
              </w:rPr>
              <w:t>AI vendor due diligence</w:t>
            </w:r>
          </w:p>
        </w:tc>
        <w:tc>
          <w:tcPr>
            <w:tcW w:type="dxa" w:w="3456"/>
            <w:tcMar>
              <w:top w:w="80" w:type="dxa"/>
              <w:start w:w="100" w:type="dxa"/>
              <w:bottom w:w="80" w:type="dxa"/>
              <w:end w:w="100" w:type="dxa"/>
            </w:tcMar>
            <w:vAlign w:val="center"/>
            <w:shd w:fill="F5F7F9"/>
          </w:tcPr>
          <w:p>
            <w:pPr>
              <w:spacing w:after="0"/>
            </w:pPr>
            <w:r/>
            <w:r>
              <w:rPr>
                <w:rFonts w:ascii="Aptos" w:hAnsi="Aptos"/>
                <w:b w:val="0"/>
                <w:color w:val="222222"/>
                <w:sz w:val="14"/>
              </w:rPr>
              <w:t>Recommended broadly and mandatory in particular legal contexts such as GDPR processors, NIS2 supply-chain risk and product/cyber rules.</w:t>
            </w:r>
          </w:p>
        </w:tc>
        <w:tc>
          <w:tcPr>
            <w:tcW w:type="dxa" w:w="2880"/>
            <w:tcMar>
              <w:top w:w="80" w:type="dxa"/>
              <w:start w:w="100" w:type="dxa"/>
              <w:bottom w:w="80" w:type="dxa"/>
              <w:end w:w="100" w:type="dxa"/>
            </w:tcMar>
            <w:vAlign w:val="center"/>
            <w:shd w:fill="F5F7F9"/>
          </w:tcPr>
          <w:p>
            <w:pPr>
              <w:spacing w:after="0"/>
            </w:pPr>
            <w:r/>
            <w:r>
              <w:rPr>
                <w:rFonts w:ascii="Aptos" w:hAnsi="Aptos"/>
                <w:b w:val="0"/>
                <w:color w:val="222222"/>
                <w:sz w:val="14"/>
              </w:rPr>
              <w:t>Integrate security, privacy, data-use, IP, change, incident, resilience and exit clauses.</w:t>
            </w:r>
          </w:p>
        </w:tc>
        <w:tc>
          <w:tcPr>
            <w:tcW w:type="dxa" w:w="1800"/>
            <w:tcMar>
              <w:top w:w="80" w:type="dxa"/>
              <w:start w:w="100" w:type="dxa"/>
              <w:bottom w:w="80" w:type="dxa"/>
              <w:end w:w="100" w:type="dxa"/>
            </w:tcMar>
            <w:vAlign w:val="center"/>
            <w:shd w:fill="F5F7F9"/>
          </w:tcPr>
          <w:p>
            <w:pPr>
              <w:spacing w:after="0"/>
            </w:pPr>
            <w:r/>
            <w:r>
              <w:rPr>
                <w:rFonts w:ascii="Aptos" w:hAnsi="Aptos"/>
                <w:b w:val="0"/>
                <w:color w:val="222222"/>
                <w:sz w:val="14"/>
              </w:rPr>
              <w:t>Do not treat contract transfer as transfer of accountability.</w:t>
            </w:r>
          </w:p>
        </w:tc>
      </w:tr>
      <w:tr>
        <w:tc>
          <w:tcPr>
            <w:tcW w:type="dxa" w:w="792"/>
            <w:tcMar>
              <w:top w:w="80" w:type="dxa"/>
              <w:start w:w="100" w:type="dxa"/>
              <w:bottom w:w="80" w:type="dxa"/>
              <w:end w:w="100" w:type="dxa"/>
            </w:tcMar>
            <w:vAlign w:val="center"/>
            <w:shd w:fill="FFFFFF"/>
          </w:tcPr>
          <w:p>
            <w:pPr>
              <w:spacing w:after="0"/>
            </w:pPr>
            <w:r/>
            <w:r>
              <w:rPr>
                <w:rFonts w:ascii="Aptos" w:hAnsi="Aptos"/>
                <w:b w:val="0"/>
                <w:color w:val="222222"/>
                <w:sz w:val="14"/>
              </w:rPr>
              <w:t>IP-07</w:t>
            </w:r>
          </w:p>
        </w:tc>
        <w:tc>
          <w:tcPr>
            <w:tcW w:type="dxa" w:w="1800"/>
            <w:tcMar>
              <w:top w:w="80" w:type="dxa"/>
              <w:start w:w="100" w:type="dxa"/>
              <w:bottom w:w="80" w:type="dxa"/>
              <w:end w:w="100" w:type="dxa"/>
            </w:tcMar>
            <w:vAlign w:val="center"/>
            <w:shd w:fill="FFFFFF"/>
          </w:tcPr>
          <w:p>
            <w:pPr>
              <w:spacing w:after="0"/>
            </w:pPr>
            <w:r/>
            <w:r>
              <w:rPr>
                <w:rFonts w:ascii="Aptos" w:hAnsi="Aptos"/>
                <w:b w:val="0"/>
                <w:color w:val="222222"/>
                <w:sz w:val="14"/>
              </w:rPr>
              <w:t>AI evidence repository</w:t>
            </w:r>
          </w:p>
        </w:tc>
        <w:tc>
          <w:tcPr>
            <w:tcW w:type="dxa" w:w="3456"/>
            <w:tcMar>
              <w:top w:w="80" w:type="dxa"/>
              <w:start w:w="100" w:type="dxa"/>
              <w:bottom w:w="80" w:type="dxa"/>
              <w:end w:w="100" w:type="dxa"/>
            </w:tcMar>
            <w:vAlign w:val="center"/>
            <w:shd w:fill="FFFFFF"/>
          </w:tcPr>
          <w:p>
            <w:pPr>
              <w:spacing w:after="0"/>
            </w:pPr>
            <w:r/>
            <w:r>
              <w:rPr>
                <w:rFonts w:ascii="Aptos" w:hAnsi="Aptos"/>
                <w:b w:val="0"/>
                <w:color w:val="222222"/>
                <w:sz w:val="14"/>
              </w:rPr>
              <w:t>Recommended enterprise-wide; specific legal contexts create documentation/logging/accountability duties, but no universal statute requires one repository.</w:t>
            </w:r>
          </w:p>
        </w:tc>
        <w:tc>
          <w:tcPr>
            <w:tcW w:type="dxa" w:w="2880"/>
            <w:tcMar>
              <w:top w:w="80" w:type="dxa"/>
              <w:start w:w="100" w:type="dxa"/>
              <w:bottom w:w="80" w:type="dxa"/>
              <w:end w:w="100" w:type="dxa"/>
            </w:tcMar>
            <w:vAlign w:val="center"/>
            <w:shd w:fill="FFFFFF"/>
          </w:tcPr>
          <w:p>
            <w:pPr>
              <w:spacing w:after="0"/>
            </w:pPr>
            <w:r/>
            <w:r>
              <w:rPr>
                <w:rFonts w:ascii="Aptos" w:hAnsi="Aptos"/>
                <w:b w:val="0"/>
                <w:color w:val="222222"/>
                <w:sz w:val="14"/>
              </w:rPr>
              <w:t>Retain as assurance-readiness architecture.</w:t>
            </w:r>
          </w:p>
        </w:tc>
        <w:tc>
          <w:tcPr>
            <w:tcW w:type="dxa" w:w="1800"/>
            <w:tcMar>
              <w:top w:w="80" w:type="dxa"/>
              <w:start w:w="100" w:type="dxa"/>
              <w:bottom w:w="80" w:type="dxa"/>
              <w:end w:w="100" w:type="dxa"/>
            </w:tcMar>
            <w:vAlign w:val="center"/>
            <w:shd w:fill="FFFFFF"/>
          </w:tcPr>
          <w:p>
            <w:pPr>
              <w:spacing w:after="0"/>
            </w:pPr>
            <w:r/>
            <w:r>
              <w:rPr>
                <w:rFonts w:ascii="Aptos" w:hAnsi="Aptos"/>
                <w:b w:val="0"/>
                <w:color w:val="222222"/>
                <w:sz w:val="14"/>
              </w:rPr>
              <w:t>Supports Internal Audit and legal defensibility.</w:t>
            </w:r>
          </w:p>
        </w:tc>
      </w:tr>
      <w:tr>
        <w:tc>
          <w:tcPr>
            <w:tcW w:type="dxa" w:w="792"/>
            <w:tcMar>
              <w:top w:w="80" w:type="dxa"/>
              <w:start w:w="100" w:type="dxa"/>
              <w:bottom w:w="80" w:type="dxa"/>
              <w:end w:w="100" w:type="dxa"/>
            </w:tcMar>
            <w:vAlign w:val="center"/>
            <w:shd w:fill="F5F7F9"/>
          </w:tcPr>
          <w:p>
            <w:pPr>
              <w:spacing w:after="0"/>
            </w:pPr>
            <w:r/>
            <w:r>
              <w:rPr>
                <w:rFonts w:ascii="Aptos" w:hAnsi="Aptos"/>
                <w:b w:val="0"/>
                <w:color w:val="222222"/>
                <w:sz w:val="14"/>
              </w:rPr>
              <w:t>IP-08</w:t>
            </w:r>
          </w:p>
        </w:tc>
        <w:tc>
          <w:tcPr>
            <w:tcW w:type="dxa" w:w="1800"/>
            <w:tcMar>
              <w:top w:w="80" w:type="dxa"/>
              <w:start w:w="100" w:type="dxa"/>
              <w:bottom w:w="80" w:type="dxa"/>
              <w:end w:w="100" w:type="dxa"/>
            </w:tcMar>
            <w:vAlign w:val="center"/>
            <w:shd w:fill="F5F7F9"/>
          </w:tcPr>
          <w:p>
            <w:pPr>
              <w:spacing w:after="0"/>
            </w:pPr>
            <w:r/>
            <w:r>
              <w:rPr>
                <w:rFonts w:ascii="Aptos" w:hAnsi="Aptos"/>
                <w:b w:val="0"/>
                <w:color w:val="222222"/>
                <w:sz w:val="14"/>
              </w:rPr>
              <w:t>ISO/IEC 42001 certification</w:t>
            </w:r>
          </w:p>
        </w:tc>
        <w:tc>
          <w:tcPr>
            <w:tcW w:type="dxa" w:w="3456"/>
            <w:tcMar>
              <w:top w:w="80" w:type="dxa"/>
              <w:start w:w="100" w:type="dxa"/>
              <w:bottom w:w="80" w:type="dxa"/>
              <w:end w:w="100" w:type="dxa"/>
            </w:tcMar>
            <w:vAlign w:val="center"/>
            <w:shd w:fill="F5F7F9"/>
          </w:tcPr>
          <w:p>
            <w:pPr>
              <w:spacing w:after="0"/>
            </w:pPr>
            <w:r/>
            <w:r>
              <w:rPr>
                <w:rFonts w:ascii="Aptos" w:hAnsi="Aptos"/>
                <w:b w:val="0"/>
                <w:color w:val="222222"/>
                <w:sz w:val="14"/>
              </w:rPr>
              <w:t>Optional. The standard can be implemented/mapped without certification.</w:t>
            </w:r>
          </w:p>
        </w:tc>
        <w:tc>
          <w:tcPr>
            <w:tcW w:type="dxa" w:w="2880"/>
            <w:tcMar>
              <w:top w:w="80" w:type="dxa"/>
              <w:start w:w="100" w:type="dxa"/>
              <w:bottom w:w="80" w:type="dxa"/>
              <w:end w:w="100" w:type="dxa"/>
            </w:tcMar>
            <w:vAlign w:val="center"/>
            <w:shd w:fill="F5F7F9"/>
          </w:tcPr>
          <w:p>
            <w:pPr>
              <w:spacing w:after="0"/>
            </w:pPr>
            <w:r/>
            <w:r>
              <w:rPr>
                <w:rFonts w:ascii="Aptos" w:hAnsi="Aptos"/>
                <w:b w:val="0"/>
                <w:color w:val="222222"/>
                <w:sz w:val="14"/>
              </w:rPr>
              <w:t>Do not claim certification or legal compliance from mapping alone.</w:t>
            </w:r>
          </w:p>
        </w:tc>
        <w:tc>
          <w:tcPr>
            <w:tcW w:type="dxa" w:w="1800"/>
            <w:tcMar>
              <w:top w:w="80" w:type="dxa"/>
              <w:start w:w="100" w:type="dxa"/>
              <w:bottom w:w="80" w:type="dxa"/>
              <w:end w:w="100" w:type="dxa"/>
            </w:tcMar>
            <w:vAlign w:val="center"/>
            <w:shd w:fill="F5F7F9"/>
          </w:tcPr>
          <w:p>
            <w:pPr>
              <w:spacing w:after="0"/>
            </w:pPr>
            <w:r/>
            <w:r>
              <w:rPr>
                <w:rFonts w:ascii="Aptos" w:hAnsi="Aptos"/>
                <w:b w:val="0"/>
                <w:color w:val="222222"/>
                <w:sz w:val="14"/>
              </w:rPr>
              <w:t>Full clause-level conformity claims require authorized access to the standard text.</w:t>
            </w:r>
          </w:p>
        </w:tc>
      </w:tr>
    </w:tbl>
    <w:p>
      <w:pPr>
        <w:pStyle w:val="Heading1"/>
        <w:keepNext/>
      </w:pPr>
      <w:r>
        <w:t>7. Prioritized Action Register</w:t>
      </w:r>
    </w:p>
    <w:tbl>
      <w:tblPr>
        <w:tblW w:type="auto" w:w="0"/>
        <w:jc w:val="center"/>
        <w:tblLayout w:type="fixed"/>
        <w:tblLook w:firstColumn="1" w:firstRow="1" w:lastColumn="0" w:lastRow="0" w:noHBand="0" w:noVBand="1" w:val="04A0"/>
      </w:tblPr>
      <w:tblGrid>
        <w:gridCol w:w="1413"/>
        <w:gridCol w:w="1413"/>
        <w:gridCol w:w="1413"/>
        <w:gridCol w:w="1413"/>
        <w:gridCol w:w="1413"/>
        <w:gridCol w:w="1413"/>
        <w:gridCol w:w="1413"/>
      </w:tblGrid>
      <w:tr>
        <w:tc>
          <w:tcPr>
            <w:tcW w:type="dxa" w:w="792"/>
            <w:tcMar>
              <w:top w:w="80" w:type="dxa"/>
              <w:start w:w="100" w:type="dxa"/>
              <w:bottom w:w="80" w:type="dxa"/>
              <w:end w:w="100" w:type="dxa"/>
            </w:tcMar>
            <w:vAlign w:val="center"/>
            <w:shd w:fill="17324D"/>
          </w:tcPr>
          <w:p>
            <w:pPr>
              <w:spacing w:after="0"/>
            </w:pPr>
            <w:r/>
            <w:r>
              <w:rPr>
                <w:rFonts w:ascii="Aptos" w:hAnsi="Aptos"/>
                <w:b/>
                <w:color w:val="FFFFFF"/>
                <w:sz w:val="13"/>
              </w:rPr>
              <w:t>ID</w:t>
            </w:r>
          </w:p>
        </w:tc>
        <w:tc>
          <w:tcPr>
            <w:tcW w:type="dxa" w:w="1152"/>
            <w:tcMar>
              <w:top w:w="80" w:type="dxa"/>
              <w:start w:w="100" w:type="dxa"/>
              <w:bottom w:w="80" w:type="dxa"/>
              <w:end w:w="100" w:type="dxa"/>
            </w:tcMar>
            <w:vAlign w:val="center"/>
            <w:shd w:fill="17324D"/>
          </w:tcPr>
          <w:p>
            <w:pPr>
              <w:spacing w:after="0"/>
            </w:pPr>
            <w:r/>
            <w:r>
              <w:rPr>
                <w:rFonts w:ascii="Aptos" w:hAnsi="Aptos"/>
                <w:b/>
                <w:color w:val="FFFFFF"/>
                <w:sz w:val="13"/>
              </w:rPr>
              <w:t>Priority</w:t>
            </w:r>
          </w:p>
        </w:tc>
        <w:tc>
          <w:tcPr>
            <w:tcW w:type="dxa" w:w="3168"/>
            <w:tcMar>
              <w:top w:w="80" w:type="dxa"/>
              <w:start w:w="100" w:type="dxa"/>
              <w:bottom w:w="80" w:type="dxa"/>
              <w:end w:w="100" w:type="dxa"/>
            </w:tcMar>
            <w:vAlign w:val="center"/>
            <w:shd w:fill="17324D"/>
          </w:tcPr>
          <w:p>
            <w:pPr>
              <w:spacing w:after="0"/>
            </w:pPr>
            <w:r/>
            <w:r>
              <w:rPr>
                <w:rFonts w:ascii="Aptos" w:hAnsi="Aptos"/>
                <w:b/>
                <w:color w:val="FFFFFF"/>
                <w:sz w:val="13"/>
              </w:rPr>
              <w:t>Action</w:t>
            </w:r>
          </w:p>
        </w:tc>
        <w:tc>
          <w:tcPr>
            <w:tcW w:type="dxa" w:w="1872"/>
            <w:tcMar>
              <w:top w:w="80" w:type="dxa"/>
              <w:start w:w="100" w:type="dxa"/>
              <w:bottom w:w="80" w:type="dxa"/>
              <w:end w:w="100" w:type="dxa"/>
            </w:tcMar>
            <w:vAlign w:val="center"/>
            <w:shd w:fill="17324D"/>
          </w:tcPr>
          <w:p>
            <w:pPr>
              <w:spacing w:after="0"/>
            </w:pPr>
            <w:r/>
            <w:r>
              <w:rPr>
                <w:rFonts w:ascii="Aptos" w:hAnsi="Aptos"/>
                <w:b/>
                <w:color w:val="FFFFFF"/>
                <w:sz w:val="13"/>
              </w:rPr>
              <w:t>Owner</w:t>
            </w:r>
          </w:p>
        </w:tc>
        <w:tc>
          <w:tcPr>
            <w:tcW w:type="dxa" w:w="2376"/>
            <w:tcMar>
              <w:top w:w="80" w:type="dxa"/>
              <w:start w:w="100" w:type="dxa"/>
              <w:bottom w:w="80" w:type="dxa"/>
              <w:end w:w="100" w:type="dxa"/>
            </w:tcMar>
            <w:vAlign w:val="center"/>
            <w:shd w:fill="17324D"/>
          </w:tcPr>
          <w:p>
            <w:pPr>
              <w:spacing w:after="0"/>
            </w:pPr>
            <w:r/>
            <w:r>
              <w:rPr>
                <w:rFonts w:ascii="Aptos" w:hAnsi="Aptos"/>
                <w:b/>
                <w:color w:val="FFFFFF"/>
                <w:sz w:val="13"/>
              </w:rPr>
              <w:t>Why</w:t>
            </w:r>
          </w:p>
        </w:tc>
        <w:tc>
          <w:tcPr>
            <w:tcW w:type="dxa" w:w="1152"/>
            <w:tcMar>
              <w:top w:w="80" w:type="dxa"/>
              <w:start w:w="100" w:type="dxa"/>
              <w:bottom w:w="80" w:type="dxa"/>
              <w:end w:w="100" w:type="dxa"/>
            </w:tcMar>
            <w:vAlign w:val="center"/>
            <w:shd w:fill="17324D"/>
          </w:tcPr>
          <w:p>
            <w:pPr>
              <w:spacing w:after="0"/>
            </w:pPr>
            <w:r/>
            <w:r>
              <w:rPr>
                <w:rFonts w:ascii="Aptos" w:hAnsi="Aptos"/>
                <w:b/>
                <w:color w:val="FFFFFF"/>
                <w:sz w:val="13"/>
              </w:rPr>
              <w:t>Trace</w:t>
            </w:r>
          </w:p>
        </w:tc>
        <w:tc>
          <w:tcPr>
            <w:tcW w:type="dxa" w:w="864"/>
            <w:tcMar>
              <w:top w:w="80" w:type="dxa"/>
              <w:start w:w="100" w:type="dxa"/>
              <w:bottom w:w="80" w:type="dxa"/>
              <w:end w:w="100" w:type="dxa"/>
            </w:tcMar>
            <w:vAlign w:val="center"/>
            <w:shd w:fill="17324D"/>
          </w:tcPr>
          <w:p>
            <w:pPr>
              <w:spacing w:after="0"/>
            </w:pPr>
            <w:r/>
            <w:r>
              <w:rPr>
                <w:rFonts w:ascii="Aptos" w:hAnsi="Aptos"/>
                <w:b/>
                <w:color w:val="FFFFFF"/>
                <w:sz w:val="13"/>
              </w:rPr>
              <w:t>Status</w:t>
            </w:r>
          </w:p>
        </w:tc>
      </w:tr>
      <w:tr>
        <w:tc>
          <w:tcPr>
            <w:tcW w:type="dxa" w:w="792"/>
            <w:tcMar>
              <w:top w:w="80" w:type="dxa"/>
              <w:start w:w="100" w:type="dxa"/>
              <w:bottom w:w="80" w:type="dxa"/>
              <w:end w:w="100" w:type="dxa"/>
            </w:tcMar>
            <w:vAlign w:val="center"/>
            <w:shd w:fill="FFFFFF"/>
          </w:tcPr>
          <w:p>
            <w:pPr>
              <w:spacing w:after="0"/>
            </w:pPr>
            <w:r/>
            <w:r>
              <w:rPr>
                <w:rFonts w:ascii="Aptos" w:hAnsi="Aptos"/>
                <w:b w:val="0"/>
                <w:color w:val="222222"/>
                <w:sz w:val="13"/>
              </w:rPr>
              <w:t>P0-01</w:t>
            </w:r>
          </w:p>
        </w:tc>
        <w:tc>
          <w:tcPr>
            <w:tcW w:type="dxa" w:w="1152"/>
            <w:tcMar>
              <w:top w:w="80" w:type="dxa"/>
              <w:start w:w="100" w:type="dxa"/>
              <w:bottom w:w="80" w:type="dxa"/>
              <w:end w:w="100" w:type="dxa"/>
            </w:tcMar>
            <w:vAlign w:val="center"/>
            <w:shd w:fill="FFFFFF"/>
          </w:tcPr>
          <w:p>
            <w:pPr>
              <w:spacing w:after="0"/>
            </w:pPr>
            <w:r/>
            <w:r>
              <w:rPr>
                <w:rFonts w:ascii="Aptos" w:hAnsi="Aptos"/>
                <w:b w:val="0"/>
                <w:color w:val="222222"/>
                <w:sz w:val="13"/>
              </w:rPr>
              <w:t>Immediate</w:t>
            </w:r>
          </w:p>
        </w:tc>
        <w:tc>
          <w:tcPr>
            <w:tcW w:type="dxa" w:w="3168"/>
            <w:tcMar>
              <w:top w:w="80" w:type="dxa"/>
              <w:start w:w="100" w:type="dxa"/>
              <w:bottom w:w="80" w:type="dxa"/>
              <w:end w:w="100" w:type="dxa"/>
            </w:tcMar>
            <w:vAlign w:val="center"/>
            <w:shd w:fill="FFFFFF"/>
          </w:tcPr>
          <w:p>
            <w:pPr>
              <w:spacing w:after="0"/>
            </w:pPr>
            <w:r/>
            <w:r>
              <w:rPr>
                <w:rFonts w:ascii="Aptos" w:hAnsi="Aptos"/>
                <w:b w:val="0"/>
                <w:color w:val="222222"/>
                <w:sz w:val="13"/>
              </w:rPr>
              <w:t>Implement QuackBot AI disclosure</w:t>
            </w:r>
          </w:p>
        </w:tc>
        <w:tc>
          <w:tcPr>
            <w:tcW w:type="dxa" w:w="1872"/>
            <w:tcMar>
              <w:top w:w="80" w:type="dxa"/>
              <w:start w:w="100" w:type="dxa"/>
              <w:bottom w:w="80" w:type="dxa"/>
              <w:end w:w="100" w:type="dxa"/>
            </w:tcMar>
            <w:vAlign w:val="center"/>
            <w:shd w:fill="FFFFFF"/>
          </w:tcPr>
          <w:p>
            <w:pPr>
              <w:spacing w:after="0"/>
            </w:pPr>
            <w:r/>
            <w:r>
              <w:rPr>
                <w:rFonts w:ascii="Aptos" w:hAnsi="Aptos"/>
                <w:b w:val="0"/>
                <w:color w:val="222222"/>
                <w:sz w:val="13"/>
              </w:rPr>
              <w:t>Customer Operations / Legal / AI Governance</w:t>
            </w:r>
          </w:p>
        </w:tc>
        <w:tc>
          <w:tcPr>
            <w:tcW w:type="dxa" w:w="2376"/>
            <w:tcMar>
              <w:top w:w="80" w:type="dxa"/>
              <w:start w:w="100" w:type="dxa"/>
              <w:bottom w:w="80" w:type="dxa"/>
              <w:end w:w="100" w:type="dxa"/>
            </w:tcMar>
            <w:vAlign w:val="center"/>
            <w:shd w:fill="FFFFFF"/>
          </w:tcPr>
          <w:p>
            <w:pPr>
              <w:spacing w:after="0"/>
            </w:pPr>
            <w:r/>
            <w:r>
              <w:rPr>
                <w:rFonts w:ascii="Aptos" w:hAnsi="Aptos"/>
                <w:b w:val="0"/>
                <w:color w:val="222222"/>
                <w:sz w:val="13"/>
              </w:rPr>
              <w:t>Art. 50 applies now; QuackBot is directly interactive.</w:t>
            </w:r>
          </w:p>
        </w:tc>
        <w:tc>
          <w:tcPr>
            <w:tcW w:type="dxa" w:w="1152"/>
            <w:tcMar>
              <w:top w:w="80" w:type="dxa"/>
              <w:start w:w="100" w:type="dxa"/>
              <w:bottom w:w="80" w:type="dxa"/>
              <w:end w:w="100" w:type="dxa"/>
            </w:tcMar>
            <w:vAlign w:val="center"/>
            <w:shd w:fill="FFFFFF"/>
          </w:tcPr>
          <w:p>
            <w:pPr>
              <w:spacing w:after="0"/>
            </w:pPr>
            <w:r/>
            <w:r>
              <w:rPr>
                <w:rFonts w:ascii="Aptos" w:hAnsi="Aptos"/>
                <w:b w:val="0"/>
                <w:color w:val="222222"/>
                <w:sz w:val="13"/>
              </w:rPr>
              <w:t>L-05</w:t>
            </w:r>
          </w:p>
        </w:tc>
        <w:tc>
          <w:tcPr>
            <w:tcW w:type="dxa" w:w="864"/>
            <w:tcMar>
              <w:top w:w="80" w:type="dxa"/>
              <w:start w:w="100" w:type="dxa"/>
              <w:bottom w:w="80" w:type="dxa"/>
              <w:end w:w="100" w:type="dxa"/>
            </w:tcMar>
            <w:vAlign w:val="center"/>
            <w:shd w:fill="FFFFFF"/>
          </w:tcPr>
          <w:p>
            <w:pPr>
              <w:spacing w:after="0"/>
            </w:pPr>
            <w:r/>
            <w:r>
              <w:rPr>
                <w:rFonts w:ascii="Aptos" w:hAnsi="Aptos"/>
                <w:b w:val="0"/>
                <w:color w:val="222222"/>
                <w:sz w:val="13"/>
              </w:rPr>
              <w:t>Open</w:t>
            </w:r>
          </w:p>
        </w:tc>
      </w:tr>
      <w:tr>
        <w:tc>
          <w:tcPr>
            <w:tcW w:type="dxa" w:w="792"/>
            <w:tcMar>
              <w:top w:w="80" w:type="dxa"/>
              <w:start w:w="100" w:type="dxa"/>
              <w:bottom w:w="80" w:type="dxa"/>
              <w:end w:w="100" w:type="dxa"/>
            </w:tcMar>
            <w:vAlign w:val="center"/>
            <w:shd w:fill="F5F7F9"/>
          </w:tcPr>
          <w:p>
            <w:pPr>
              <w:spacing w:after="0"/>
            </w:pPr>
            <w:r/>
            <w:r>
              <w:rPr>
                <w:rFonts w:ascii="Aptos" w:hAnsi="Aptos"/>
                <w:b w:val="0"/>
                <w:color w:val="222222"/>
                <w:sz w:val="13"/>
              </w:rPr>
              <w:t>P0-02</w:t>
            </w:r>
          </w:p>
        </w:tc>
        <w:tc>
          <w:tcPr>
            <w:tcW w:type="dxa" w:w="1152"/>
            <w:tcMar>
              <w:top w:w="80" w:type="dxa"/>
              <w:start w:w="100" w:type="dxa"/>
              <w:bottom w:w="80" w:type="dxa"/>
              <w:end w:w="100" w:type="dxa"/>
            </w:tcMar>
            <w:vAlign w:val="center"/>
            <w:shd w:fill="F5F7F9"/>
          </w:tcPr>
          <w:p>
            <w:pPr>
              <w:spacing w:after="0"/>
            </w:pPr>
            <w:r/>
            <w:r>
              <w:rPr>
                <w:rFonts w:ascii="Aptos" w:hAnsi="Aptos"/>
                <w:b w:val="0"/>
                <w:color w:val="222222"/>
                <w:sz w:val="13"/>
              </w:rPr>
              <w:t>Immediate</w:t>
            </w:r>
          </w:p>
        </w:tc>
        <w:tc>
          <w:tcPr>
            <w:tcW w:type="dxa" w:w="3168"/>
            <w:tcMar>
              <w:top w:w="80" w:type="dxa"/>
              <w:start w:w="100" w:type="dxa"/>
              <w:bottom w:w="80" w:type="dxa"/>
              <w:end w:w="100" w:type="dxa"/>
            </w:tcMar>
            <w:vAlign w:val="center"/>
            <w:shd w:fill="F5F7F9"/>
          </w:tcPr>
          <w:p>
            <w:pPr>
              <w:spacing w:after="0"/>
            </w:pPr>
            <w:r/>
            <w:r>
              <w:rPr>
                <w:rFonts w:ascii="Aptos" w:hAnsi="Aptos"/>
                <w:b w:val="0"/>
                <w:color w:val="222222"/>
                <w:sz w:val="13"/>
              </w:rPr>
              <w:t>Operationalize role-based AI literacy and evidence records</w:t>
            </w:r>
          </w:p>
        </w:tc>
        <w:tc>
          <w:tcPr>
            <w:tcW w:type="dxa" w:w="1872"/>
            <w:tcMar>
              <w:top w:w="80" w:type="dxa"/>
              <w:start w:w="100" w:type="dxa"/>
              <w:bottom w:w="80" w:type="dxa"/>
              <w:end w:w="100" w:type="dxa"/>
            </w:tcMar>
            <w:vAlign w:val="center"/>
            <w:shd w:fill="F5F7F9"/>
          </w:tcPr>
          <w:p>
            <w:pPr>
              <w:spacing w:after="0"/>
            </w:pPr>
            <w:r/>
            <w:r>
              <w:rPr>
                <w:rFonts w:ascii="Aptos" w:hAnsi="Aptos"/>
                <w:b w:val="0"/>
                <w:color w:val="222222"/>
                <w:sz w:val="13"/>
              </w:rPr>
              <w:t>AI Governance / HR / System Owners</w:t>
            </w:r>
          </w:p>
        </w:tc>
        <w:tc>
          <w:tcPr>
            <w:tcW w:type="dxa" w:w="2376"/>
            <w:tcMar>
              <w:top w:w="80" w:type="dxa"/>
              <w:start w:w="100" w:type="dxa"/>
              <w:bottom w:w="80" w:type="dxa"/>
              <w:end w:w="100" w:type="dxa"/>
            </w:tcMar>
            <w:vAlign w:val="center"/>
            <w:shd w:fill="F5F7F9"/>
          </w:tcPr>
          <w:p>
            <w:pPr>
              <w:spacing w:after="0"/>
            </w:pPr>
            <w:r/>
            <w:r>
              <w:rPr>
                <w:rFonts w:ascii="Aptos" w:hAnsi="Aptos"/>
                <w:b w:val="0"/>
                <w:color w:val="222222"/>
                <w:sz w:val="13"/>
              </w:rPr>
              <w:t>Art. 4 already applies across Duckworks AI use.</w:t>
            </w:r>
          </w:p>
        </w:tc>
        <w:tc>
          <w:tcPr>
            <w:tcW w:type="dxa" w:w="1152"/>
            <w:tcMar>
              <w:top w:w="80" w:type="dxa"/>
              <w:start w:w="100" w:type="dxa"/>
              <w:bottom w:w="80" w:type="dxa"/>
              <w:end w:w="100" w:type="dxa"/>
            </w:tcMar>
            <w:vAlign w:val="center"/>
            <w:shd w:fill="F5F7F9"/>
          </w:tcPr>
          <w:p>
            <w:pPr>
              <w:spacing w:after="0"/>
            </w:pPr>
            <w:r/>
            <w:r>
              <w:rPr>
                <w:rFonts w:ascii="Aptos" w:hAnsi="Aptos"/>
                <w:b w:val="0"/>
                <w:color w:val="222222"/>
                <w:sz w:val="13"/>
              </w:rPr>
              <w:t>L-03</w:t>
            </w:r>
          </w:p>
        </w:tc>
        <w:tc>
          <w:tcPr>
            <w:tcW w:type="dxa" w:w="864"/>
            <w:tcMar>
              <w:top w:w="80" w:type="dxa"/>
              <w:start w:w="100" w:type="dxa"/>
              <w:bottom w:w="80" w:type="dxa"/>
              <w:end w:w="100" w:type="dxa"/>
            </w:tcMar>
            <w:vAlign w:val="center"/>
            <w:shd w:fill="F5F7F9"/>
          </w:tcPr>
          <w:p>
            <w:pPr>
              <w:spacing w:after="0"/>
            </w:pPr>
            <w:r/>
            <w:r>
              <w:rPr>
                <w:rFonts w:ascii="Aptos" w:hAnsi="Aptos"/>
                <w:b w:val="0"/>
                <w:color w:val="222222"/>
                <w:sz w:val="13"/>
              </w:rPr>
              <w:t>Open</w:t>
            </w:r>
          </w:p>
        </w:tc>
      </w:tr>
      <w:tr>
        <w:tc>
          <w:tcPr>
            <w:tcW w:type="dxa" w:w="792"/>
            <w:tcMar>
              <w:top w:w="80" w:type="dxa"/>
              <w:start w:w="100" w:type="dxa"/>
              <w:bottom w:w="80" w:type="dxa"/>
              <w:end w:w="100" w:type="dxa"/>
            </w:tcMar>
            <w:vAlign w:val="center"/>
            <w:shd w:fill="FFFFFF"/>
          </w:tcPr>
          <w:p>
            <w:pPr>
              <w:spacing w:after="0"/>
            </w:pPr>
            <w:r/>
            <w:r>
              <w:rPr>
                <w:rFonts w:ascii="Aptos" w:hAnsi="Aptos"/>
                <w:b w:val="0"/>
                <w:color w:val="222222"/>
                <w:sz w:val="13"/>
              </w:rPr>
              <w:t>P0-03</w:t>
            </w:r>
          </w:p>
        </w:tc>
        <w:tc>
          <w:tcPr>
            <w:tcW w:type="dxa" w:w="1152"/>
            <w:tcMar>
              <w:top w:w="80" w:type="dxa"/>
              <w:start w:w="100" w:type="dxa"/>
              <w:bottom w:w="80" w:type="dxa"/>
              <w:end w:w="100" w:type="dxa"/>
            </w:tcMar>
            <w:vAlign w:val="center"/>
            <w:shd w:fill="FFFFFF"/>
          </w:tcPr>
          <w:p>
            <w:pPr>
              <w:spacing w:after="0"/>
            </w:pPr>
            <w:r/>
            <w:r>
              <w:rPr>
                <w:rFonts w:ascii="Aptos" w:hAnsi="Aptos"/>
                <w:b w:val="0"/>
                <w:color w:val="222222"/>
                <w:sz w:val="13"/>
              </w:rPr>
              <w:t>Immediate</w:t>
            </w:r>
          </w:p>
        </w:tc>
        <w:tc>
          <w:tcPr>
            <w:tcW w:type="dxa" w:w="3168"/>
            <w:tcMar>
              <w:top w:w="80" w:type="dxa"/>
              <w:start w:w="100" w:type="dxa"/>
              <w:bottom w:w="80" w:type="dxa"/>
              <w:end w:w="100" w:type="dxa"/>
            </w:tcMar>
            <w:vAlign w:val="center"/>
            <w:shd w:fill="FFFFFF"/>
          </w:tcPr>
          <w:p>
            <w:pPr>
              <w:spacing w:after="0"/>
            </w:pPr>
            <w:r/>
            <w:r>
              <w:rPr>
                <w:rFonts w:ascii="Aptos" w:hAnsi="Aptos"/>
                <w:b w:val="0"/>
                <w:color w:val="222222"/>
                <w:sz w:val="13"/>
              </w:rPr>
              <w:t>Add prohibited-practice screening to AI intake/change process</w:t>
            </w:r>
          </w:p>
        </w:tc>
        <w:tc>
          <w:tcPr>
            <w:tcW w:type="dxa" w:w="1872"/>
            <w:tcMar>
              <w:top w:w="80" w:type="dxa"/>
              <w:start w:w="100" w:type="dxa"/>
              <w:bottom w:w="80" w:type="dxa"/>
              <w:end w:w="100" w:type="dxa"/>
            </w:tcMar>
            <w:vAlign w:val="center"/>
            <w:shd w:fill="FFFFFF"/>
          </w:tcPr>
          <w:p>
            <w:pPr>
              <w:spacing w:after="0"/>
            </w:pPr>
            <w:r/>
            <w:r>
              <w:rPr>
                <w:rFonts w:ascii="Aptos" w:hAnsi="Aptos"/>
                <w:b w:val="0"/>
                <w:color w:val="222222"/>
                <w:sz w:val="13"/>
              </w:rPr>
              <w:t>Legal / AI Governance</w:t>
            </w:r>
          </w:p>
        </w:tc>
        <w:tc>
          <w:tcPr>
            <w:tcW w:type="dxa" w:w="2376"/>
            <w:tcMar>
              <w:top w:w="80" w:type="dxa"/>
              <w:start w:w="100" w:type="dxa"/>
              <w:bottom w:w="80" w:type="dxa"/>
              <w:end w:w="100" w:type="dxa"/>
            </w:tcMar>
            <w:vAlign w:val="center"/>
            <w:shd w:fill="FFFFFF"/>
          </w:tcPr>
          <w:p>
            <w:pPr>
              <w:spacing w:after="0"/>
            </w:pPr>
            <w:r/>
            <w:r>
              <w:rPr>
                <w:rFonts w:ascii="Aptos" w:hAnsi="Aptos"/>
                <w:b w:val="0"/>
                <w:color w:val="222222"/>
                <w:sz w:val="13"/>
              </w:rPr>
              <w:t>Current legal gate; future functionality can change classification.</w:t>
            </w:r>
          </w:p>
        </w:tc>
        <w:tc>
          <w:tcPr>
            <w:tcW w:type="dxa" w:w="1152"/>
            <w:tcMar>
              <w:top w:w="80" w:type="dxa"/>
              <w:start w:w="100" w:type="dxa"/>
              <w:bottom w:w="80" w:type="dxa"/>
              <w:end w:w="100" w:type="dxa"/>
            </w:tcMar>
            <w:vAlign w:val="center"/>
            <w:shd w:fill="FFFFFF"/>
          </w:tcPr>
          <w:p>
            <w:pPr>
              <w:spacing w:after="0"/>
            </w:pPr>
            <w:r/>
            <w:r>
              <w:rPr>
                <w:rFonts w:ascii="Aptos" w:hAnsi="Aptos"/>
                <w:b w:val="0"/>
                <w:color w:val="222222"/>
                <w:sz w:val="13"/>
              </w:rPr>
              <w:t>L-04</w:t>
            </w:r>
          </w:p>
        </w:tc>
        <w:tc>
          <w:tcPr>
            <w:tcW w:type="dxa" w:w="864"/>
            <w:tcMar>
              <w:top w:w="80" w:type="dxa"/>
              <w:start w:w="100" w:type="dxa"/>
              <w:bottom w:w="80" w:type="dxa"/>
              <w:end w:w="100" w:type="dxa"/>
            </w:tcMar>
            <w:vAlign w:val="center"/>
            <w:shd w:fill="FFFFFF"/>
          </w:tcPr>
          <w:p>
            <w:pPr>
              <w:spacing w:after="0"/>
            </w:pPr>
            <w:r/>
            <w:r>
              <w:rPr>
                <w:rFonts w:ascii="Aptos" w:hAnsi="Aptos"/>
                <w:b w:val="0"/>
                <w:color w:val="222222"/>
                <w:sz w:val="13"/>
              </w:rPr>
              <w:t>Open</w:t>
            </w:r>
          </w:p>
        </w:tc>
      </w:tr>
      <w:tr>
        <w:tc>
          <w:tcPr>
            <w:tcW w:type="dxa" w:w="792"/>
            <w:tcMar>
              <w:top w:w="80" w:type="dxa"/>
              <w:start w:w="100" w:type="dxa"/>
              <w:bottom w:w="80" w:type="dxa"/>
              <w:end w:w="100" w:type="dxa"/>
            </w:tcMar>
            <w:vAlign w:val="center"/>
            <w:shd w:fill="F5F7F9"/>
          </w:tcPr>
          <w:p>
            <w:pPr>
              <w:spacing w:after="0"/>
            </w:pPr>
            <w:r/>
            <w:r>
              <w:rPr>
                <w:rFonts w:ascii="Aptos" w:hAnsi="Aptos"/>
                <w:b w:val="0"/>
                <w:color w:val="222222"/>
                <w:sz w:val="13"/>
              </w:rPr>
              <w:t>P0-04</w:t>
            </w:r>
          </w:p>
        </w:tc>
        <w:tc>
          <w:tcPr>
            <w:tcW w:type="dxa" w:w="1152"/>
            <w:tcMar>
              <w:top w:w="80" w:type="dxa"/>
              <w:start w:w="100" w:type="dxa"/>
              <w:bottom w:w="80" w:type="dxa"/>
              <w:end w:w="100" w:type="dxa"/>
            </w:tcMar>
            <w:vAlign w:val="center"/>
            <w:shd w:fill="F5F7F9"/>
          </w:tcPr>
          <w:p>
            <w:pPr>
              <w:spacing w:after="0"/>
            </w:pPr>
            <w:r/>
            <w:r>
              <w:rPr>
                <w:rFonts w:ascii="Aptos" w:hAnsi="Aptos"/>
                <w:b w:val="0"/>
                <w:color w:val="222222"/>
                <w:sz w:val="13"/>
              </w:rPr>
              <w:t>Immediate</w:t>
            </w:r>
          </w:p>
        </w:tc>
        <w:tc>
          <w:tcPr>
            <w:tcW w:type="dxa" w:w="3168"/>
            <w:tcMar>
              <w:top w:w="80" w:type="dxa"/>
              <w:start w:w="100" w:type="dxa"/>
              <w:bottom w:w="80" w:type="dxa"/>
              <w:end w:w="100" w:type="dxa"/>
            </w:tcMar>
            <w:vAlign w:val="center"/>
            <w:shd w:fill="F5F7F9"/>
          </w:tcPr>
          <w:p>
            <w:pPr>
              <w:spacing w:after="0"/>
            </w:pPr>
            <w:r/>
            <w:r>
              <w:rPr>
                <w:rFonts w:ascii="Aptos" w:hAnsi="Aptos"/>
                <w:b w:val="0"/>
                <w:color w:val="222222"/>
                <w:sz w:val="13"/>
              </w:rPr>
              <w:t>Contain and decompose shadow GenAI use</w:t>
            </w:r>
          </w:p>
        </w:tc>
        <w:tc>
          <w:tcPr>
            <w:tcW w:type="dxa" w:w="1872"/>
            <w:tcMar>
              <w:top w:w="80" w:type="dxa"/>
              <w:start w:w="100" w:type="dxa"/>
              <w:bottom w:w="80" w:type="dxa"/>
              <w:end w:w="100" w:type="dxa"/>
            </w:tcMar>
            <w:vAlign w:val="center"/>
            <w:shd w:fill="F5F7F9"/>
          </w:tcPr>
          <w:p>
            <w:pPr>
              <w:spacing w:after="0"/>
            </w:pPr>
            <w:r/>
            <w:r>
              <w:rPr>
                <w:rFonts w:ascii="Aptos" w:hAnsi="Aptos"/>
                <w:b w:val="0"/>
                <w:color w:val="222222"/>
                <w:sz w:val="13"/>
              </w:rPr>
              <w:t>CISO / AI Governance / IT</w:t>
            </w:r>
          </w:p>
        </w:tc>
        <w:tc>
          <w:tcPr>
            <w:tcW w:type="dxa" w:w="2376"/>
            <w:tcMar>
              <w:top w:w="80" w:type="dxa"/>
              <w:start w:w="100" w:type="dxa"/>
              <w:bottom w:w="80" w:type="dxa"/>
              <w:end w:w="100" w:type="dxa"/>
            </w:tcMar>
            <w:vAlign w:val="center"/>
            <w:shd w:fill="F5F7F9"/>
          </w:tcPr>
          <w:p>
            <w:pPr>
              <w:spacing w:after="0"/>
            </w:pPr>
            <w:r/>
            <w:r>
              <w:rPr>
                <w:rFonts w:ascii="Aptos" w:hAnsi="Aptos"/>
                <w:b w:val="0"/>
                <w:color w:val="222222"/>
                <w:sz w:val="13"/>
              </w:rPr>
              <w:t>Unknown tools may process confidential or personal data without review.</w:t>
            </w:r>
          </w:p>
        </w:tc>
        <w:tc>
          <w:tcPr>
            <w:tcW w:type="dxa" w:w="1152"/>
            <w:tcMar>
              <w:top w:w="80" w:type="dxa"/>
              <w:start w:w="100" w:type="dxa"/>
              <w:bottom w:w="80" w:type="dxa"/>
              <w:end w:w="100" w:type="dxa"/>
            </w:tcMar>
            <w:vAlign w:val="center"/>
            <w:shd w:fill="F5F7F9"/>
          </w:tcPr>
          <w:p>
            <w:pPr>
              <w:spacing w:after="0"/>
            </w:pPr>
            <w:r/>
            <w:r>
              <w:rPr>
                <w:rFonts w:ascii="Aptos" w:hAnsi="Aptos"/>
                <w:b w:val="0"/>
                <w:color w:val="222222"/>
                <w:sz w:val="13"/>
              </w:rPr>
              <w:t>L-16, L-20</w:t>
            </w:r>
          </w:p>
        </w:tc>
        <w:tc>
          <w:tcPr>
            <w:tcW w:type="dxa" w:w="864"/>
            <w:tcMar>
              <w:top w:w="80" w:type="dxa"/>
              <w:start w:w="100" w:type="dxa"/>
              <w:bottom w:w="80" w:type="dxa"/>
              <w:end w:w="100" w:type="dxa"/>
            </w:tcMar>
            <w:vAlign w:val="center"/>
            <w:shd w:fill="F5F7F9"/>
          </w:tcPr>
          <w:p>
            <w:pPr>
              <w:spacing w:after="0"/>
            </w:pPr>
            <w:r/>
            <w:r>
              <w:rPr>
                <w:rFonts w:ascii="Aptos" w:hAnsi="Aptos"/>
                <w:b w:val="0"/>
                <w:color w:val="222222"/>
                <w:sz w:val="13"/>
              </w:rPr>
              <w:t>Open</w:t>
            </w:r>
          </w:p>
        </w:tc>
      </w:tr>
      <w:tr>
        <w:tc>
          <w:tcPr>
            <w:tcW w:type="dxa" w:w="792"/>
            <w:tcMar>
              <w:top w:w="80" w:type="dxa"/>
              <w:start w:w="100" w:type="dxa"/>
              <w:bottom w:w="80" w:type="dxa"/>
              <w:end w:w="100" w:type="dxa"/>
            </w:tcMar>
            <w:vAlign w:val="center"/>
            <w:shd w:fill="FFFFFF"/>
          </w:tcPr>
          <w:p>
            <w:pPr>
              <w:spacing w:after="0"/>
            </w:pPr>
            <w:r/>
            <w:r>
              <w:rPr>
                <w:rFonts w:ascii="Aptos" w:hAnsi="Aptos"/>
                <w:b w:val="0"/>
                <w:color w:val="222222"/>
                <w:sz w:val="13"/>
              </w:rPr>
              <w:t>P0-05</w:t>
            </w:r>
          </w:p>
        </w:tc>
        <w:tc>
          <w:tcPr>
            <w:tcW w:type="dxa" w:w="1152"/>
            <w:tcMar>
              <w:top w:w="80" w:type="dxa"/>
              <w:start w:w="100" w:type="dxa"/>
              <w:bottom w:w="80" w:type="dxa"/>
              <w:end w:w="100" w:type="dxa"/>
            </w:tcMar>
            <w:vAlign w:val="center"/>
            <w:shd w:fill="FFFFFF"/>
          </w:tcPr>
          <w:p>
            <w:pPr>
              <w:spacing w:after="0"/>
            </w:pPr>
            <w:r/>
            <w:r>
              <w:rPr>
                <w:rFonts w:ascii="Aptos" w:hAnsi="Aptos"/>
                <w:b w:val="0"/>
                <w:color w:val="222222"/>
                <w:sz w:val="13"/>
              </w:rPr>
              <w:t>Immediate</w:t>
            </w:r>
          </w:p>
        </w:tc>
        <w:tc>
          <w:tcPr>
            <w:tcW w:type="dxa" w:w="3168"/>
            <w:tcMar>
              <w:top w:w="80" w:type="dxa"/>
              <w:start w:w="100" w:type="dxa"/>
              <w:bottom w:w="80" w:type="dxa"/>
              <w:end w:w="100" w:type="dxa"/>
            </w:tcMar>
            <w:vAlign w:val="center"/>
            <w:shd w:fill="FFFFFF"/>
          </w:tcPr>
          <w:p>
            <w:pPr>
              <w:spacing w:after="0"/>
            </w:pPr>
            <w:r/>
            <w:r>
              <w:rPr>
                <w:rFonts w:ascii="Aptos" w:hAnsi="Aptos"/>
                <w:b w:val="0"/>
                <w:color w:val="222222"/>
                <w:sz w:val="13"/>
              </w:rPr>
              <w:t>Keep DuckTalent blocked from unrestricted production</w:t>
            </w:r>
          </w:p>
        </w:tc>
        <w:tc>
          <w:tcPr>
            <w:tcW w:type="dxa" w:w="1872"/>
            <w:tcMar>
              <w:top w:w="80" w:type="dxa"/>
              <w:start w:w="100" w:type="dxa"/>
              <w:bottom w:w="80" w:type="dxa"/>
              <w:end w:w="100" w:type="dxa"/>
            </w:tcMar>
            <w:vAlign w:val="center"/>
            <w:shd w:fill="FFFFFF"/>
          </w:tcPr>
          <w:p>
            <w:pPr>
              <w:spacing w:after="0"/>
            </w:pPr>
            <w:r/>
            <w:r>
              <w:rPr>
                <w:rFonts w:ascii="Aptos" w:hAnsi="Aptos"/>
                <w:b w:val="0"/>
                <w:color w:val="222222"/>
                <w:sz w:val="13"/>
              </w:rPr>
              <w:t>CPO / Legal / CRCO</w:t>
            </w:r>
          </w:p>
        </w:tc>
        <w:tc>
          <w:tcPr>
            <w:tcW w:type="dxa" w:w="2376"/>
            <w:tcMar>
              <w:top w:w="80" w:type="dxa"/>
              <w:start w:w="100" w:type="dxa"/>
              <w:bottom w:w="80" w:type="dxa"/>
              <w:end w:w="100" w:type="dxa"/>
            </w:tcMar>
            <w:vAlign w:val="center"/>
            <w:shd w:fill="FFFFFF"/>
          </w:tcPr>
          <w:p>
            <w:pPr>
              <w:spacing w:after="0"/>
            </w:pPr>
            <w:r/>
            <w:r>
              <w:rPr>
                <w:rFonts w:ascii="Aptos" w:hAnsi="Aptos"/>
                <w:b w:val="0"/>
                <w:color w:val="222222"/>
                <w:sz w:val="13"/>
              </w:rPr>
              <w:t>Likely Annex III high-risk and unresolved privacy/fairness/human oversight issues.</w:t>
            </w:r>
          </w:p>
        </w:tc>
        <w:tc>
          <w:tcPr>
            <w:tcW w:type="dxa" w:w="1152"/>
            <w:tcMar>
              <w:top w:w="80" w:type="dxa"/>
              <w:start w:w="100" w:type="dxa"/>
              <w:bottom w:w="80" w:type="dxa"/>
              <w:end w:w="100" w:type="dxa"/>
            </w:tcMar>
            <w:vAlign w:val="center"/>
            <w:shd w:fill="FFFFFF"/>
          </w:tcPr>
          <w:p>
            <w:pPr>
              <w:spacing w:after="0"/>
            </w:pPr>
            <w:r/>
            <w:r>
              <w:rPr>
                <w:rFonts w:ascii="Aptos" w:hAnsi="Aptos"/>
                <w:b w:val="0"/>
                <w:color w:val="222222"/>
                <w:sz w:val="13"/>
              </w:rPr>
              <w:t>L-08, L-18, L-19</w:t>
            </w:r>
          </w:p>
        </w:tc>
        <w:tc>
          <w:tcPr>
            <w:tcW w:type="dxa" w:w="864"/>
            <w:tcMar>
              <w:top w:w="80" w:type="dxa"/>
              <w:start w:w="100" w:type="dxa"/>
              <w:bottom w:w="80" w:type="dxa"/>
              <w:end w:w="100" w:type="dxa"/>
            </w:tcMar>
            <w:vAlign w:val="center"/>
            <w:shd w:fill="FFFFFF"/>
          </w:tcPr>
          <w:p>
            <w:pPr>
              <w:spacing w:after="0"/>
            </w:pPr>
            <w:r/>
            <w:r>
              <w:rPr>
                <w:rFonts w:ascii="Aptos" w:hAnsi="Aptos"/>
                <w:b w:val="0"/>
                <w:color w:val="222222"/>
                <w:sz w:val="13"/>
              </w:rPr>
              <w:t>Open</w:t>
            </w:r>
          </w:p>
        </w:tc>
      </w:tr>
      <w:tr>
        <w:tc>
          <w:tcPr>
            <w:tcW w:type="dxa" w:w="792"/>
            <w:tcMar>
              <w:top w:w="80" w:type="dxa"/>
              <w:start w:w="100" w:type="dxa"/>
              <w:bottom w:w="80" w:type="dxa"/>
              <w:end w:w="100" w:type="dxa"/>
            </w:tcMar>
            <w:vAlign w:val="center"/>
            <w:shd w:fill="F5F7F9"/>
          </w:tcPr>
          <w:p>
            <w:pPr>
              <w:spacing w:after="0"/>
            </w:pPr>
            <w:r/>
            <w:r>
              <w:rPr>
                <w:rFonts w:ascii="Aptos" w:hAnsi="Aptos"/>
                <w:b w:val="0"/>
                <w:color w:val="222222"/>
                <w:sz w:val="13"/>
              </w:rPr>
              <w:t>P0-06</w:t>
            </w:r>
          </w:p>
        </w:tc>
        <w:tc>
          <w:tcPr>
            <w:tcW w:type="dxa" w:w="1152"/>
            <w:tcMar>
              <w:top w:w="80" w:type="dxa"/>
              <w:start w:w="100" w:type="dxa"/>
              <w:bottom w:w="80" w:type="dxa"/>
              <w:end w:w="100" w:type="dxa"/>
            </w:tcMar>
            <w:vAlign w:val="center"/>
            <w:shd w:fill="F5F7F9"/>
          </w:tcPr>
          <w:p>
            <w:pPr>
              <w:spacing w:after="0"/>
            </w:pPr>
            <w:r/>
            <w:r>
              <w:rPr>
                <w:rFonts w:ascii="Aptos" w:hAnsi="Aptos"/>
                <w:b w:val="0"/>
                <w:color w:val="222222"/>
                <w:sz w:val="13"/>
              </w:rPr>
              <w:t>Immediate</w:t>
            </w:r>
          </w:p>
        </w:tc>
        <w:tc>
          <w:tcPr>
            <w:tcW w:type="dxa" w:w="3168"/>
            <w:tcMar>
              <w:top w:w="80" w:type="dxa"/>
              <w:start w:w="100" w:type="dxa"/>
              <w:bottom w:w="80" w:type="dxa"/>
              <w:end w:w="100" w:type="dxa"/>
            </w:tcMar>
            <w:vAlign w:val="center"/>
            <w:shd w:fill="F5F7F9"/>
          </w:tcPr>
          <w:p>
            <w:pPr>
              <w:spacing w:after="0"/>
            </w:pPr>
            <w:r/>
            <w:r>
              <w:rPr>
                <w:rFonts w:ascii="Aptos" w:hAnsi="Aptos"/>
                <w:b w:val="0"/>
                <w:color w:val="222222"/>
                <w:sz w:val="13"/>
              </w:rPr>
              <w:t>Perform CRA product scoping and reporting-readiness assessment</w:t>
            </w:r>
          </w:p>
        </w:tc>
        <w:tc>
          <w:tcPr>
            <w:tcW w:type="dxa" w:w="1872"/>
            <w:tcMar>
              <w:top w:w="80" w:type="dxa"/>
              <w:start w:w="100" w:type="dxa"/>
              <w:bottom w:w="80" w:type="dxa"/>
              <w:end w:w="100" w:type="dxa"/>
            </w:tcMar>
            <w:vAlign w:val="center"/>
            <w:shd w:fill="F5F7F9"/>
          </w:tcPr>
          <w:p>
            <w:pPr>
              <w:spacing w:after="0"/>
            </w:pPr>
            <w:r/>
            <w:r>
              <w:rPr>
                <w:rFonts w:ascii="Aptos" w:hAnsi="Aptos"/>
                <w:b w:val="0"/>
                <w:color w:val="222222"/>
                <w:sz w:val="13"/>
              </w:rPr>
              <w:t>Product Security / Legal / CISO</w:t>
            </w:r>
          </w:p>
        </w:tc>
        <w:tc>
          <w:tcPr>
            <w:tcW w:type="dxa" w:w="2376"/>
            <w:tcMar>
              <w:top w:w="80" w:type="dxa"/>
              <w:start w:w="100" w:type="dxa"/>
              <w:bottom w:w="80" w:type="dxa"/>
              <w:end w:w="100" w:type="dxa"/>
            </w:tcMar>
            <w:vAlign w:val="center"/>
            <w:shd w:fill="F5F7F9"/>
          </w:tcPr>
          <w:p>
            <w:pPr>
              <w:spacing w:after="0"/>
            </w:pPr>
            <w:r/>
            <w:r>
              <w:rPr>
                <w:rFonts w:ascii="Aptos" w:hAnsi="Aptos"/>
                <w:b w:val="0"/>
                <w:color w:val="222222"/>
                <w:sz w:val="13"/>
              </w:rPr>
              <w:t>Art. 14 reporting starts 11 Sep 2026 for in-scope products.</w:t>
            </w:r>
          </w:p>
        </w:tc>
        <w:tc>
          <w:tcPr>
            <w:tcW w:type="dxa" w:w="1152"/>
            <w:tcMar>
              <w:top w:w="80" w:type="dxa"/>
              <w:start w:w="100" w:type="dxa"/>
              <w:bottom w:w="80" w:type="dxa"/>
              <w:end w:w="100" w:type="dxa"/>
            </w:tcMar>
            <w:vAlign w:val="center"/>
            <w:shd w:fill="F5F7F9"/>
          </w:tcPr>
          <w:p>
            <w:pPr>
              <w:spacing w:after="0"/>
            </w:pPr>
            <w:r/>
            <w:r>
              <w:rPr>
                <w:rFonts w:ascii="Aptos" w:hAnsi="Aptos"/>
                <w:b w:val="0"/>
                <w:color w:val="222222"/>
                <w:sz w:val="13"/>
              </w:rPr>
              <w:t>L-29, L-30</w:t>
            </w:r>
          </w:p>
        </w:tc>
        <w:tc>
          <w:tcPr>
            <w:tcW w:type="dxa" w:w="864"/>
            <w:tcMar>
              <w:top w:w="80" w:type="dxa"/>
              <w:start w:w="100" w:type="dxa"/>
              <w:bottom w:w="80" w:type="dxa"/>
              <w:end w:w="100" w:type="dxa"/>
            </w:tcMar>
            <w:vAlign w:val="center"/>
            <w:shd w:fill="F5F7F9"/>
          </w:tcPr>
          <w:p>
            <w:pPr>
              <w:spacing w:after="0"/>
            </w:pPr>
            <w:r/>
            <w:r>
              <w:rPr>
                <w:rFonts w:ascii="Aptos" w:hAnsi="Aptos"/>
                <w:b w:val="0"/>
                <w:color w:val="222222"/>
                <w:sz w:val="13"/>
              </w:rPr>
              <w:t>Open</w:t>
            </w:r>
          </w:p>
        </w:tc>
      </w:tr>
      <w:tr>
        <w:tc>
          <w:tcPr>
            <w:tcW w:type="dxa" w:w="792"/>
            <w:tcMar>
              <w:top w:w="80" w:type="dxa"/>
              <w:start w:w="100" w:type="dxa"/>
              <w:bottom w:w="80" w:type="dxa"/>
              <w:end w:w="100" w:type="dxa"/>
            </w:tcMar>
            <w:vAlign w:val="center"/>
            <w:shd w:fill="FFFFFF"/>
          </w:tcPr>
          <w:p>
            <w:pPr>
              <w:spacing w:after="0"/>
            </w:pPr>
            <w:r/>
            <w:r>
              <w:rPr>
                <w:rFonts w:ascii="Aptos" w:hAnsi="Aptos"/>
                <w:b w:val="0"/>
                <w:color w:val="222222"/>
                <w:sz w:val="13"/>
              </w:rPr>
              <w:t>P0-07</w:t>
            </w:r>
          </w:p>
        </w:tc>
        <w:tc>
          <w:tcPr>
            <w:tcW w:type="dxa" w:w="1152"/>
            <w:tcMar>
              <w:top w:w="80" w:type="dxa"/>
              <w:start w:w="100" w:type="dxa"/>
              <w:bottom w:w="80" w:type="dxa"/>
              <w:end w:w="100" w:type="dxa"/>
            </w:tcMar>
            <w:vAlign w:val="center"/>
            <w:shd w:fill="FFFFFF"/>
          </w:tcPr>
          <w:p>
            <w:pPr>
              <w:spacing w:after="0"/>
            </w:pPr>
            <w:r/>
            <w:r>
              <w:rPr>
                <w:rFonts w:ascii="Aptos" w:hAnsi="Aptos"/>
                <w:b w:val="0"/>
                <w:color w:val="222222"/>
                <w:sz w:val="13"/>
              </w:rPr>
              <w:t>Immediate</w:t>
            </w:r>
          </w:p>
        </w:tc>
        <w:tc>
          <w:tcPr>
            <w:tcW w:type="dxa" w:w="3168"/>
            <w:tcMar>
              <w:top w:w="80" w:type="dxa"/>
              <w:start w:w="100" w:type="dxa"/>
              <w:bottom w:w="80" w:type="dxa"/>
              <w:end w:w="100" w:type="dxa"/>
            </w:tcMar>
            <w:vAlign w:val="center"/>
            <w:shd w:fill="FFFFFF"/>
          </w:tcPr>
          <w:p>
            <w:pPr>
              <w:spacing w:after="0"/>
            </w:pPr>
            <w:r/>
            <w:r>
              <w:rPr>
                <w:rFonts w:ascii="Aptos" w:hAnsi="Aptos"/>
                <w:b w:val="0"/>
                <w:color w:val="222222"/>
                <w:sz w:val="13"/>
              </w:rPr>
              <w:t>Assign AI Act provider/deployer roles per system</w:t>
            </w:r>
          </w:p>
        </w:tc>
        <w:tc>
          <w:tcPr>
            <w:tcW w:type="dxa" w:w="1872"/>
            <w:tcMar>
              <w:top w:w="80" w:type="dxa"/>
              <w:start w:w="100" w:type="dxa"/>
              <w:bottom w:w="80" w:type="dxa"/>
              <w:end w:w="100" w:type="dxa"/>
            </w:tcMar>
            <w:vAlign w:val="center"/>
            <w:shd w:fill="FFFFFF"/>
          </w:tcPr>
          <w:p>
            <w:pPr>
              <w:spacing w:after="0"/>
            </w:pPr>
            <w:r/>
            <w:r>
              <w:rPr>
                <w:rFonts w:ascii="Aptos" w:hAnsi="Aptos"/>
                <w:b w:val="0"/>
                <w:color w:val="222222"/>
                <w:sz w:val="13"/>
              </w:rPr>
              <w:t>Legal / Procurement / AI Governance</w:t>
            </w:r>
          </w:p>
        </w:tc>
        <w:tc>
          <w:tcPr>
            <w:tcW w:type="dxa" w:w="2376"/>
            <w:tcMar>
              <w:top w:w="80" w:type="dxa"/>
              <w:start w:w="100" w:type="dxa"/>
              <w:bottom w:w="80" w:type="dxa"/>
              <w:end w:w="100" w:type="dxa"/>
            </w:tcMar>
            <w:vAlign w:val="center"/>
            <w:shd w:fill="FFFFFF"/>
          </w:tcPr>
          <w:p>
            <w:pPr>
              <w:spacing w:after="0"/>
            </w:pPr>
            <w:r/>
            <w:r>
              <w:rPr>
                <w:rFonts w:ascii="Aptos" w:hAnsi="Aptos"/>
                <w:b w:val="0"/>
                <w:color w:val="222222"/>
                <w:sz w:val="13"/>
              </w:rPr>
              <w:t>Obligations materially differ by economic-operator role.</w:t>
            </w:r>
          </w:p>
        </w:tc>
        <w:tc>
          <w:tcPr>
            <w:tcW w:type="dxa" w:w="1152"/>
            <w:tcMar>
              <w:top w:w="80" w:type="dxa"/>
              <w:start w:w="100" w:type="dxa"/>
              <w:bottom w:w="80" w:type="dxa"/>
              <w:end w:w="100" w:type="dxa"/>
            </w:tcMar>
            <w:vAlign w:val="center"/>
            <w:shd w:fill="FFFFFF"/>
          </w:tcPr>
          <w:p>
            <w:pPr>
              <w:spacing w:after="0"/>
            </w:pPr>
            <w:r/>
            <w:r>
              <w:rPr>
                <w:rFonts w:ascii="Aptos" w:hAnsi="Aptos"/>
                <w:b w:val="0"/>
                <w:color w:val="222222"/>
                <w:sz w:val="13"/>
              </w:rPr>
              <w:t>L-02, L-14</w:t>
            </w:r>
          </w:p>
        </w:tc>
        <w:tc>
          <w:tcPr>
            <w:tcW w:type="dxa" w:w="864"/>
            <w:tcMar>
              <w:top w:w="80" w:type="dxa"/>
              <w:start w:w="100" w:type="dxa"/>
              <w:bottom w:w="80" w:type="dxa"/>
              <w:end w:w="100" w:type="dxa"/>
            </w:tcMar>
            <w:vAlign w:val="center"/>
            <w:shd w:fill="FFFFFF"/>
          </w:tcPr>
          <w:p>
            <w:pPr>
              <w:spacing w:after="0"/>
            </w:pPr>
            <w:r/>
            <w:r>
              <w:rPr>
                <w:rFonts w:ascii="Aptos" w:hAnsi="Aptos"/>
                <w:b w:val="0"/>
                <w:color w:val="222222"/>
                <w:sz w:val="13"/>
              </w:rPr>
              <w:t>Open</w:t>
            </w:r>
          </w:p>
        </w:tc>
      </w:tr>
      <w:tr>
        <w:tc>
          <w:tcPr>
            <w:tcW w:type="dxa" w:w="792"/>
            <w:tcMar>
              <w:top w:w="80" w:type="dxa"/>
              <w:start w:w="100" w:type="dxa"/>
              <w:bottom w:w="80" w:type="dxa"/>
              <w:end w:w="100" w:type="dxa"/>
            </w:tcMar>
            <w:vAlign w:val="center"/>
            <w:shd w:fill="F5F7F9"/>
          </w:tcPr>
          <w:p>
            <w:pPr>
              <w:spacing w:after="0"/>
            </w:pPr>
            <w:r/>
            <w:r>
              <w:rPr>
                <w:rFonts w:ascii="Aptos" w:hAnsi="Aptos"/>
                <w:b w:val="0"/>
                <w:color w:val="222222"/>
                <w:sz w:val="13"/>
              </w:rPr>
              <w:t>P1-01</w:t>
            </w:r>
          </w:p>
        </w:tc>
        <w:tc>
          <w:tcPr>
            <w:tcW w:type="dxa" w:w="1152"/>
            <w:tcMar>
              <w:top w:w="80" w:type="dxa"/>
              <w:start w:w="100" w:type="dxa"/>
              <w:bottom w:w="80" w:type="dxa"/>
              <w:end w:w="100" w:type="dxa"/>
            </w:tcMar>
            <w:vAlign w:val="center"/>
            <w:shd w:fill="F5F7F9"/>
          </w:tcPr>
          <w:p>
            <w:pPr>
              <w:spacing w:after="0"/>
            </w:pPr>
            <w:r/>
            <w:r>
              <w:rPr>
                <w:rFonts w:ascii="Aptos" w:hAnsi="Aptos"/>
                <w:b w:val="0"/>
                <w:color w:val="222222"/>
                <w:sz w:val="13"/>
              </w:rPr>
              <w:t>0-90 days</w:t>
            </w:r>
          </w:p>
        </w:tc>
        <w:tc>
          <w:tcPr>
            <w:tcW w:type="dxa" w:w="3168"/>
            <w:tcMar>
              <w:top w:w="80" w:type="dxa"/>
              <w:start w:w="100" w:type="dxa"/>
              <w:bottom w:w="80" w:type="dxa"/>
              <w:end w:w="100" w:type="dxa"/>
            </w:tcMar>
            <w:vAlign w:val="center"/>
            <w:shd w:fill="F5F7F9"/>
          </w:tcPr>
          <w:p>
            <w:pPr>
              <w:spacing w:after="0"/>
            </w:pPr>
            <w:r/>
            <w:r>
              <w:rPr>
                <w:rFonts w:ascii="Aptos" w:hAnsi="Aptos"/>
                <w:b w:val="0"/>
                <w:color w:val="222222"/>
                <w:sz w:val="13"/>
              </w:rPr>
              <w:t>Perform formal DuckTalent GDPR DPIA screening / DPIA as required</w:t>
            </w:r>
          </w:p>
        </w:tc>
        <w:tc>
          <w:tcPr>
            <w:tcW w:type="dxa" w:w="1872"/>
            <w:tcMar>
              <w:top w:w="80" w:type="dxa"/>
              <w:start w:w="100" w:type="dxa"/>
              <w:bottom w:w="80" w:type="dxa"/>
              <w:end w:w="100" w:type="dxa"/>
            </w:tcMar>
            <w:vAlign w:val="center"/>
            <w:shd w:fill="F5F7F9"/>
          </w:tcPr>
          <w:p>
            <w:pPr>
              <w:spacing w:after="0"/>
            </w:pPr>
            <w:r/>
            <w:r>
              <w:rPr>
                <w:rFonts w:ascii="Aptos" w:hAnsi="Aptos"/>
                <w:b w:val="0"/>
                <w:color w:val="222222"/>
                <w:sz w:val="13"/>
              </w:rPr>
              <w:t>DPO / HR / Legal</w:t>
            </w:r>
          </w:p>
        </w:tc>
        <w:tc>
          <w:tcPr>
            <w:tcW w:type="dxa" w:w="2376"/>
            <w:tcMar>
              <w:top w:w="80" w:type="dxa"/>
              <w:start w:w="100" w:type="dxa"/>
              <w:bottom w:w="80" w:type="dxa"/>
              <w:end w:w="100" w:type="dxa"/>
            </w:tcMar>
            <w:vAlign w:val="center"/>
            <w:shd w:fill="F5F7F9"/>
          </w:tcPr>
          <w:p>
            <w:pPr>
              <w:spacing w:after="0"/>
            </w:pPr>
            <w:r/>
            <w:r>
              <w:rPr>
                <w:rFonts w:ascii="Aptos" w:hAnsi="Aptos"/>
                <w:b w:val="0"/>
                <w:color w:val="222222"/>
                <w:sz w:val="13"/>
              </w:rPr>
              <w:t>Recruitment profiling may be high-risk processing.</w:t>
            </w:r>
          </w:p>
        </w:tc>
        <w:tc>
          <w:tcPr>
            <w:tcW w:type="dxa" w:w="1152"/>
            <w:tcMar>
              <w:top w:w="80" w:type="dxa"/>
              <w:start w:w="100" w:type="dxa"/>
              <w:bottom w:w="80" w:type="dxa"/>
              <w:end w:w="100" w:type="dxa"/>
            </w:tcMar>
            <w:vAlign w:val="center"/>
            <w:shd w:fill="F5F7F9"/>
          </w:tcPr>
          <w:p>
            <w:pPr>
              <w:spacing w:after="0"/>
            </w:pPr>
            <w:r/>
            <w:r>
              <w:rPr>
                <w:rFonts w:ascii="Aptos" w:hAnsi="Aptos"/>
                <w:b w:val="0"/>
                <w:color w:val="222222"/>
                <w:sz w:val="13"/>
              </w:rPr>
              <w:t>L-19</w:t>
            </w:r>
          </w:p>
        </w:tc>
        <w:tc>
          <w:tcPr>
            <w:tcW w:type="dxa" w:w="864"/>
            <w:tcMar>
              <w:top w:w="80" w:type="dxa"/>
              <w:start w:w="100" w:type="dxa"/>
              <w:bottom w:w="80" w:type="dxa"/>
              <w:end w:w="100" w:type="dxa"/>
            </w:tcMar>
            <w:vAlign w:val="center"/>
            <w:shd w:fill="F5F7F9"/>
          </w:tcPr>
          <w:p>
            <w:pPr>
              <w:spacing w:after="0"/>
            </w:pPr>
            <w:r/>
            <w:r>
              <w:rPr>
                <w:rFonts w:ascii="Aptos" w:hAnsi="Aptos"/>
                <w:b w:val="0"/>
                <w:color w:val="222222"/>
                <w:sz w:val="13"/>
              </w:rPr>
              <w:t>Open</w:t>
            </w:r>
          </w:p>
        </w:tc>
      </w:tr>
      <w:tr>
        <w:tc>
          <w:tcPr>
            <w:tcW w:type="dxa" w:w="792"/>
            <w:tcMar>
              <w:top w:w="80" w:type="dxa"/>
              <w:start w:w="100" w:type="dxa"/>
              <w:bottom w:w="80" w:type="dxa"/>
              <w:end w:w="100" w:type="dxa"/>
            </w:tcMar>
            <w:vAlign w:val="center"/>
            <w:shd w:fill="FFFFFF"/>
          </w:tcPr>
          <w:p>
            <w:pPr>
              <w:spacing w:after="0"/>
            </w:pPr>
            <w:r/>
            <w:r>
              <w:rPr>
                <w:rFonts w:ascii="Aptos" w:hAnsi="Aptos"/>
                <w:b w:val="0"/>
                <w:color w:val="222222"/>
                <w:sz w:val="13"/>
              </w:rPr>
              <w:t>P1-02</w:t>
            </w:r>
          </w:p>
        </w:tc>
        <w:tc>
          <w:tcPr>
            <w:tcW w:type="dxa" w:w="1152"/>
            <w:tcMar>
              <w:top w:w="80" w:type="dxa"/>
              <w:start w:w="100" w:type="dxa"/>
              <w:bottom w:w="80" w:type="dxa"/>
              <w:end w:w="100" w:type="dxa"/>
            </w:tcMar>
            <w:vAlign w:val="center"/>
            <w:shd w:fill="FFFFFF"/>
          </w:tcPr>
          <w:p>
            <w:pPr>
              <w:spacing w:after="0"/>
            </w:pPr>
            <w:r/>
            <w:r>
              <w:rPr>
                <w:rFonts w:ascii="Aptos" w:hAnsi="Aptos"/>
                <w:b w:val="0"/>
                <w:color w:val="222222"/>
                <w:sz w:val="13"/>
              </w:rPr>
              <w:t>0-90 days</w:t>
            </w:r>
          </w:p>
        </w:tc>
        <w:tc>
          <w:tcPr>
            <w:tcW w:type="dxa" w:w="3168"/>
            <w:tcMar>
              <w:top w:w="80" w:type="dxa"/>
              <w:start w:w="100" w:type="dxa"/>
              <w:bottom w:w="80" w:type="dxa"/>
              <w:end w:w="100" w:type="dxa"/>
            </w:tcMar>
            <w:vAlign w:val="center"/>
            <w:shd w:fill="FFFFFF"/>
          </w:tcPr>
          <w:p>
            <w:pPr>
              <w:spacing w:after="0"/>
            </w:pPr>
            <w:r/>
            <w:r>
              <w:rPr>
                <w:rFonts w:ascii="Aptos" w:hAnsi="Aptos"/>
                <w:b w:val="0"/>
                <w:color w:val="222222"/>
                <w:sz w:val="13"/>
              </w:rPr>
              <w:t>Define and test meaningful human oversight for DuckTalent, DuckDesign and WingInspect</w:t>
            </w:r>
          </w:p>
        </w:tc>
        <w:tc>
          <w:tcPr>
            <w:tcW w:type="dxa" w:w="1872"/>
            <w:tcMar>
              <w:top w:w="80" w:type="dxa"/>
              <w:start w:w="100" w:type="dxa"/>
              <w:bottom w:w="80" w:type="dxa"/>
              <w:end w:w="100" w:type="dxa"/>
            </w:tcMar>
            <w:vAlign w:val="center"/>
            <w:shd w:fill="FFFFFF"/>
          </w:tcPr>
          <w:p>
            <w:pPr>
              <w:spacing w:after="0"/>
            </w:pPr>
            <w:r/>
            <w:r>
              <w:rPr>
                <w:rFonts w:ascii="Aptos" w:hAnsi="Aptos"/>
                <w:b w:val="0"/>
                <w:color w:val="222222"/>
                <w:sz w:val="13"/>
              </w:rPr>
              <w:t>Business Owners / Risk / Data &amp; AI</w:t>
            </w:r>
          </w:p>
        </w:tc>
        <w:tc>
          <w:tcPr>
            <w:tcW w:type="dxa" w:w="2376"/>
            <w:tcMar>
              <w:top w:w="80" w:type="dxa"/>
              <w:start w:w="100" w:type="dxa"/>
              <w:bottom w:w="80" w:type="dxa"/>
              <w:end w:w="100" w:type="dxa"/>
            </w:tcMar>
            <w:vAlign w:val="center"/>
            <w:shd w:fill="FFFFFF"/>
          </w:tcPr>
          <w:p>
            <w:pPr>
              <w:spacing w:after="0"/>
            </w:pPr>
            <w:r/>
            <w:r>
              <w:rPr>
                <w:rFonts w:ascii="Aptos" w:hAnsi="Aptos"/>
                <w:b w:val="0"/>
                <w:color w:val="222222"/>
                <w:sz w:val="13"/>
              </w:rPr>
              <w:t>Human authority and automation-bias controls are critical to legal and residual-risk conclusions.</w:t>
            </w:r>
          </w:p>
        </w:tc>
        <w:tc>
          <w:tcPr>
            <w:tcW w:type="dxa" w:w="1152"/>
            <w:tcMar>
              <w:top w:w="80" w:type="dxa"/>
              <w:start w:w="100" w:type="dxa"/>
              <w:bottom w:w="80" w:type="dxa"/>
              <w:end w:w="100" w:type="dxa"/>
            </w:tcMar>
            <w:vAlign w:val="center"/>
            <w:shd w:fill="FFFFFF"/>
          </w:tcPr>
          <w:p>
            <w:pPr>
              <w:spacing w:after="0"/>
            </w:pPr>
            <w:r/>
            <w:r>
              <w:rPr>
                <w:rFonts w:ascii="Aptos" w:hAnsi="Aptos"/>
                <w:b w:val="0"/>
                <w:color w:val="222222"/>
                <w:sz w:val="13"/>
              </w:rPr>
              <w:t>L-10, L-18, L-28</w:t>
            </w:r>
          </w:p>
        </w:tc>
        <w:tc>
          <w:tcPr>
            <w:tcW w:type="dxa" w:w="864"/>
            <w:tcMar>
              <w:top w:w="80" w:type="dxa"/>
              <w:start w:w="100" w:type="dxa"/>
              <w:bottom w:w="80" w:type="dxa"/>
              <w:end w:w="100" w:type="dxa"/>
            </w:tcMar>
            <w:vAlign w:val="center"/>
            <w:shd w:fill="FFFFFF"/>
          </w:tcPr>
          <w:p>
            <w:pPr>
              <w:spacing w:after="0"/>
            </w:pPr>
            <w:r/>
            <w:r>
              <w:rPr>
                <w:rFonts w:ascii="Aptos" w:hAnsi="Aptos"/>
                <w:b w:val="0"/>
                <w:color w:val="222222"/>
                <w:sz w:val="13"/>
              </w:rPr>
              <w:t>Open</w:t>
            </w:r>
          </w:p>
        </w:tc>
      </w:tr>
      <w:tr>
        <w:tc>
          <w:tcPr>
            <w:tcW w:type="dxa" w:w="792"/>
            <w:tcMar>
              <w:top w:w="80" w:type="dxa"/>
              <w:start w:w="100" w:type="dxa"/>
              <w:bottom w:w="80" w:type="dxa"/>
              <w:end w:w="100" w:type="dxa"/>
            </w:tcMar>
            <w:vAlign w:val="center"/>
            <w:shd w:fill="F5F7F9"/>
          </w:tcPr>
          <w:p>
            <w:pPr>
              <w:spacing w:after="0"/>
            </w:pPr>
            <w:r/>
            <w:r>
              <w:rPr>
                <w:rFonts w:ascii="Aptos" w:hAnsi="Aptos"/>
                <w:b w:val="0"/>
                <w:color w:val="222222"/>
                <w:sz w:val="13"/>
              </w:rPr>
              <w:t>P1-03</w:t>
            </w:r>
          </w:p>
        </w:tc>
        <w:tc>
          <w:tcPr>
            <w:tcW w:type="dxa" w:w="1152"/>
            <w:tcMar>
              <w:top w:w="80" w:type="dxa"/>
              <w:start w:w="100" w:type="dxa"/>
              <w:bottom w:w="80" w:type="dxa"/>
              <w:end w:w="100" w:type="dxa"/>
            </w:tcMar>
            <w:vAlign w:val="center"/>
            <w:shd w:fill="F5F7F9"/>
          </w:tcPr>
          <w:p>
            <w:pPr>
              <w:spacing w:after="0"/>
            </w:pPr>
            <w:r/>
            <w:r>
              <w:rPr>
                <w:rFonts w:ascii="Aptos" w:hAnsi="Aptos"/>
                <w:b w:val="0"/>
                <w:color w:val="222222"/>
                <w:sz w:val="13"/>
              </w:rPr>
              <w:t>0-90 days</w:t>
            </w:r>
          </w:p>
        </w:tc>
        <w:tc>
          <w:tcPr>
            <w:tcW w:type="dxa" w:w="3168"/>
            <w:tcMar>
              <w:top w:w="80" w:type="dxa"/>
              <w:start w:w="100" w:type="dxa"/>
              <w:bottom w:w="80" w:type="dxa"/>
              <w:end w:w="100" w:type="dxa"/>
            </w:tcMar>
            <w:vAlign w:val="center"/>
            <w:shd w:fill="F5F7F9"/>
          </w:tcPr>
          <w:p>
            <w:pPr>
              <w:spacing w:after="0"/>
            </w:pPr>
            <w:r/>
            <w:r>
              <w:rPr>
                <w:rFonts w:ascii="Aptos" w:hAnsi="Aptos"/>
                <w:b w:val="0"/>
                <w:color w:val="222222"/>
                <w:sz w:val="13"/>
              </w:rPr>
              <w:t>Validate NIS2 NACE scope and Member-State implementing law</w:t>
            </w:r>
          </w:p>
        </w:tc>
        <w:tc>
          <w:tcPr>
            <w:tcW w:type="dxa" w:w="1872"/>
            <w:tcMar>
              <w:top w:w="80" w:type="dxa"/>
              <w:start w:w="100" w:type="dxa"/>
              <w:bottom w:w="80" w:type="dxa"/>
              <w:end w:w="100" w:type="dxa"/>
            </w:tcMar>
            <w:vAlign w:val="center"/>
            <w:shd w:fill="F5F7F9"/>
          </w:tcPr>
          <w:p>
            <w:pPr>
              <w:spacing w:after="0"/>
            </w:pPr>
            <w:r/>
            <w:r>
              <w:rPr>
                <w:rFonts w:ascii="Aptos" w:hAnsi="Aptos"/>
                <w:b w:val="0"/>
                <w:color w:val="222222"/>
                <w:sz w:val="13"/>
              </w:rPr>
              <w:t>CISO / Legal</w:t>
            </w:r>
          </w:p>
        </w:tc>
        <w:tc>
          <w:tcPr>
            <w:tcW w:type="dxa" w:w="2376"/>
            <w:tcMar>
              <w:top w:w="80" w:type="dxa"/>
              <w:start w:w="100" w:type="dxa"/>
              <w:bottom w:w="80" w:type="dxa"/>
              <w:end w:w="100" w:type="dxa"/>
            </w:tcMar>
            <w:vAlign w:val="center"/>
            <w:shd w:fill="F5F7F9"/>
          </w:tcPr>
          <w:p>
            <w:pPr>
              <w:spacing w:after="0"/>
            </w:pPr>
            <w:r/>
            <w:r>
              <w:rPr>
                <w:rFonts w:ascii="Aptos" w:hAnsi="Aptos"/>
                <w:b w:val="0"/>
                <w:color w:val="222222"/>
                <w:sz w:val="13"/>
              </w:rPr>
              <w:t>Duckworks appears likely within machinery manufacturing scope but national mapping is required.</w:t>
            </w:r>
          </w:p>
        </w:tc>
        <w:tc>
          <w:tcPr>
            <w:tcW w:type="dxa" w:w="1152"/>
            <w:tcMar>
              <w:top w:w="80" w:type="dxa"/>
              <w:start w:w="100" w:type="dxa"/>
              <w:bottom w:w="80" w:type="dxa"/>
              <w:end w:w="100" w:type="dxa"/>
            </w:tcMar>
            <w:vAlign w:val="center"/>
            <w:shd w:fill="F5F7F9"/>
          </w:tcPr>
          <w:p>
            <w:pPr>
              <w:spacing w:after="0"/>
            </w:pPr>
            <w:r/>
            <w:r>
              <w:rPr>
                <w:rFonts w:ascii="Aptos" w:hAnsi="Aptos"/>
                <w:b w:val="0"/>
                <w:color w:val="222222"/>
                <w:sz w:val="13"/>
              </w:rPr>
              <w:t>L-24, L-25</w:t>
            </w:r>
          </w:p>
        </w:tc>
        <w:tc>
          <w:tcPr>
            <w:tcW w:type="dxa" w:w="864"/>
            <w:tcMar>
              <w:top w:w="80" w:type="dxa"/>
              <w:start w:w="100" w:type="dxa"/>
              <w:bottom w:w="80" w:type="dxa"/>
              <w:end w:w="100" w:type="dxa"/>
            </w:tcMar>
            <w:vAlign w:val="center"/>
            <w:shd w:fill="F5F7F9"/>
          </w:tcPr>
          <w:p>
            <w:pPr>
              <w:spacing w:after="0"/>
            </w:pPr>
            <w:r/>
            <w:r>
              <w:rPr>
                <w:rFonts w:ascii="Aptos" w:hAnsi="Aptos"/>
                <w:b w:val="0"/>
                <w:color w:val="222222"/>
                <w:sz w:val="13"/>
              </w:rPr>
              <w:t>Open</w:t>
            </w:r>
          </w:p>
        </w:tc>
      </w:tr>
      <w:tr>
        <w:tc>
          <w:tcPr>
            <w:tcW w:type="dxa" w:w="792"/>
            <w:tcMar>
              <w:top w:w="80" w:type="dxa"/>
              <w:start w:w="100" w:type="dxa"/>
              <w:bottom w:w="80" w:type="dxa"/>
              <w:end w:w="100" w:type="dxa"/>
            </w:tcMar>
            <w:vAlign w:val="center"/>
            <w:shd w:fill="FFFFFF"/>
          </w:tcPr>
          <w:p>
            <w:pPr>
              <w:spacing w:after="0"/>
            </w:pPr>
            <w:r/>
            <w:r>
              <w:rPr>
                <w:rFonts w:ascii="Aptos" w:hAnsi="Aptos"/>
                <w:b w:val="0"/>
                <w:color w:val="222222"/>
                <w:sz w:val="13"/>
              </w:rPr>
              <w:t>P1-04</w:t>
            </w:r>
          </w:p>
        </w:tc>
        <w:tc>
          <w:tcPr>
            <w:tcW w:type="dxa" w:w="1152"/>
            <w:tcMar>
              <w:top w:w="80" w:type="dxa"/>
              <w:start w:w="100" w:type="dxa"/>
              <w:bottom w:w="80" w:type="dxa"/>
              <w:end w:w="100" w:type="dxa"/>
            </w:tcMar>
            <w:vAlign w:val="center"/>
            <w:shd w:fill="FFFFFF"/>
          </w:tcPr>
          <w:p>
            <w:pPr>
              <w:spacing w:after="0"/>
            </w:pPr>
            <w:r/>
            <w:r>
              <w:rPr>
                <w:rFonts w:ascii="Aptos" w:hAnsi="Aptos"/>
                <w:b w:val="0"/>
                <w:color w:val="222222"/>
                <w:sz w:val="13"/>
              </w:rPr>
              <w:t>0-90 days</w:t>
            </w:r>
          </w:p>
        </w:tc>
        <w:tc>
          <w:tcPr>
            <w:tcW w:type="dxa" w:w="3168"/>
            <w:tcMar>
              <w:top w:w="80" w:type="dxa"/>
              <w:start w:w="100" w:type="dxa"/>
              <w:bottom w:w="80" w:type="dxa"/>
              <w:end w:w="100" w:type="dxa"/>
            </w:tcMar>
            <w:vAlign w:val="center"/>
            <w:shd w:fill="FFFFFF"/>
          </w:tcPr>
          <w:p>
            <w:pPr>
              <w:spacing w:after="0"/>
            </w:pPr>
            <w:r/>
            <w:r>
              <w:rPr>
                <w:rFonts w:ascii="Aptos" w:hAnsi="Aptos"/>
                <w:b w:val="0"/>
                <w:color w:val="222222"/>
                <w:sz w:val="13"/>
              </w:rPr>
              <w:t>Validate product architecture and safety role of DuckDesign/WingInspect/product AI</w:t>
            </w:r>
          </w:p>
        </w:tc>
        <w:tc>
          <w:tcPr>
            <w:tcW w:type="dxa" w:w="1872"/>
            <w:tcMar>
              <w:top w:w="80" w:type="dxa"/>
              <w:start w:w="100" w:type="dxa"/>
              <w:bottom w:w="80" w:type="dxa"/>
              <w:end w:w="100" w:type="dxa"/>
            </w:tcMar>
            <w:vAlign w:val="center"/>
            <w:shd w:fill="FFFFFF"/>
          </w:tcPr>
          <w:p>
            <w:pPr>
              <w:spacing w:after="0"/>
            </w:pPr>
            <w:r/>
            <w:r>
              <w:rPr>
                <w:rFonts w:ascii="Aptos" w:hAnsi="Aptos"/>
                <w:b w:val="0"/>
                <w:color w:val="222222"/>
                <w:sz w:val="13"/>
              </w:rPr>
              <w:t>CTO / Product Safety / Legal</w:t>
            </w:r>
          </w:p>
        </w:tc>
        <w:tc>
          <w:tcPr>
            <w:tcW w:type="dxa" w:w="2376"/>
            <w:tcMar>
              <w:top w:w="80" w:type="dxa"/>
              <w:start w:w="100" w:type="dxa"/>
              <w:bottom w:w="80" w:type="dxa"/>
              <w:end w:w="100" w:type="dxa"/>
            </w:tcMar>
            <w:vAlign w:val="center"/>
            <w:shd w:fill="FFFFFF"/>
          </w:tcPr>
          <w:p>
            <w:pPr>
              <w:spacing w:after="0"/>
            </w:pPr>
            <w:r/>
            <w:r>
              <w:rPr>
                <w:rFonts w:ascii="Aptos" w:hAnsi="Aptos"/>
                <w:b w:val="0"/>
                <w:color w:val="222222"/>
                <w:sz w:val="13"/>
              </w:rPr>
              <w:t>Determines machinery, AI Act product-route and CRA exposure.</w:t>
            </w:r>
          </w:p>
        </w:tc>
        <w:tc>
          <w:tcPr>
            <w:tcW w:type="dxa" w:w="1152"/>
            <w:tcMar>
              <w:top w:w="80" w:type="dxa"/>
              <w:start w:w="100" w:type="dxa"/>
              <w:bottom w:w="80" w:type="dxa"/>
              <w:end w:w="100" w:type="dxa"/>
            </w:tcMar>
            <w:vAlign w:val="center"/>
            <w:shd w:fill="FFFFFF"/>
          </w:tcPr>
          <w:p>
            <w:pPr>
              <w:spacing w:after="0"/>
            </w:pPr>
            <w:r/>
            <w:r>
              <w:rPr>
                <w:rFonts w:ascii="Aptos" w:hAnsi="Aptos"/>
                <w:b w:val="0"/>
                <w:color w:val="222222"/>
                <w:sz w:val="13"/>
              </w:rPr>
              <w:t>L-26, L-28, L-29</w:t>
            </w:r>
          </w:p>
        </w:tc>
        <w:tc>
          <w:tcPr>
            <w:tcW w:type="dxa" w:w="864"/>
            <w:tcMar>
              <w:top w:w="80" w:type="dxa"/>
              <w:start w:w="100" w:type="dxa"/>
              <w:bottom w:w="80" w:type="dxa"/>
              <w:end w:w="100" w:type="dxa"/>
            </w:tcMar>
            <w:vAlign w:val="center"/>
            <w:shd w:fill="FFFFFF"/>
          </w:tcPr>
          <w:p>
            <w:pPr>
              <w:spacing w:after="0"/>
            </w:pPr>
            <w:r/>
            <w:r>
              <w:rPr>
                <w:rFonts w:ascii="Aptos" w:hAnsi="Aptos"/>
                <w:b w:val="0"/>
                <w:color w:val="222222"/>
                <w:sz w:val="13"/>
              </w:rPr>
              <w:t>Open</w:t>
            </w:r>
          </w:p>
        </w:tc>
      </w:tr>
      <w:tr>
        <w:tc>
          <w:tcPr>
            <w:tcW w:type="dxa" w:w="792"/>
            <w:tcMar>
              <w:top w:w="80" w:type="dxa"/>
              <w:start w:w="100" w:type="dxa"/>
              <w:bottom w:w="80" w:type="dxa"/>
              <w:end w:w="100" w:type="dxa"/>
            </w:tcMar>
            <w:vAlign w:val="center"/>
            <w:shd w:fill="F5F7F9"/>
          </w:tcPr>
          <w:p>
            <w:pPr>
              <w:spacing w:after="0"/>
            </w:pPr>
            <w:r/>
            <w:r>
              <w:rPr>
                <w:rFonts w:ascii="Aptos" w:hAnsi="Aptos"/>
                <w:b w:val="0"/>
                <w:color w:val="222222"/>
                <w:sz w:val="13"/>
              </w:rPr>
              <w:t>P1-05</w:t>
            </w:r>
          </w:p>
        </w:tc>
        <w:tc>
          <w:tcPr>
            <w:tcW w:type="dxa" w:w="1152"/>
            <w:tcMar>
              <w:top w:w="80" w:type="dxa"/>
              <w:start w:w="100" w:type="dxa"/>
              <w:bottom w:w="80" w:type="dxa"/>
              <w:end w:w="100" w:type="dxa"/>
            </w:tcMar>
            <w:vAlign w:val="center"/>
            <w:shd w:fill="F5F7F9"/>
          </w:tcPr>
          <w:p>
            <w:pPr>
              <w:spacing w:after="0"/>
            </w:pPr>
            <w:r/>
            <w:r>
              <w:rPr>
                <w:rFonts w:ascii="Aptos" w:hAnsi="Aptos"/>
                <w:b w:val="0"/>
                <w:color w:val="222222"/>
                <w:sz w:val="13"/>
              </w:rPr>
              <w:t>0-90 days</w:t>
            </w:r>
          </w:p>
        </w:tc>
        <w:tc>
          <w:tcPr>
            <w:tcW w:type="dxa" w:w="3168"/>
            <w:tcMar>
              <w:top w:w="80" w:type="dxa"/>
              <w:start w:w="100" w:type="dxa"/>
              <w:bottom w:w="80" w:type="dxa"/>
              <w:end w:w="100" w:type="dxa"/>
            </w:tcMar>
            <w:vAlign w:val="center"/>
            <w:shd w:fill="F5F7F9"/>
          </w:tcPr>
          <w:p>
            <w:pPr>
              <w:spacing w:after="0"/>
            </w:pPr>
            <w:r/>
            <w:r>
              <w:rPr>
                <w:rFonts w:ascii="Aptos" w:hAnsi="Aptos"/>
                <w:b w:val="0"/>
                <w:color w:val="222222"/>
                <w:sz w:val="13"/>
              </w:rPr>
              <w:t>Strengthen third-party AI due diligence and contractual evidence requirements</w:t>
            </w:r>
          </w:p>
        </w:tc>
        <w:tc>
          <w:tcPr>
            <w:tcW w:type="dxa" w:w="1872"/>
            <w:tcMar>
              <w:top w:w="80" w:type="dxa"/>
              <w:start w:w="100" w:type="dxa"/>
              <w:bottom w:w="80" w:type="dxa"/>
              <w:end w:w="100" w:type="dxa"/>
            </w:tcMar>
            <w:vAlign w:val="center"/>
            <w:shd w:fill="F5F7F9"/>
          </w:tcPr>
          <w:p>
            <w:pPr>
              <w:spacing w:after="0"/>
            </w:pPr>
            <w:r/>
            <w:r>
              <w:rPr>
                <w:rFonts w:ascii="Aptos" w:hAnsi="Aptos"/>
                <w:b w:val="0"/>
                <w:color w:val="222222"/>
                <w:sz w:val="13"/>
              </w:rPr>
              <w:t>Procurement / Security / Privacy / Legal</w:t>
            </w:r>
          </w:p>
        </w:tc>
        <w:tc>
          <w:tcPr>
            <w:tcW w:type="dxa" w:w="2376"/>
            <w:tcMar>
              <w:top w:w="80" w:type="dxa"/>
              <w:start w:w="100" w:type="dxa"/>
              <w:bottom w:w="80" w:type="dxa"/>
              <w:end w:w="100" w:type="dxa"/>
            </w:tcMar>
            <w:vAlign w:val="center"/>
            <w:shd w:fill="F5F7F9"/>
          </w:tcPr>
          <w:p>
            <w:pPr>
              <w:spacing w:after="0"/>
            </w:pPr>
            <w:r/>
            <w:r>
              <w:rPr>
                <w:rFonts w:ascii="Aptos" w:hAnsi="Aptos"/>
                <w:b w:val="0"/>
                <w:color w:val="222222"/>
                <w:sz w:val="13"/>
              </w:rPr>
              <w:t>Vendor AI does not transfer accountability automatically.</w:t>
            </w:r>
          </w:p>
        </w:tc>
        <w:tc>
          <w:tcPr>
            <w:tcW w:type="dxa" w:w="1152"/>
            <w:tcMar>
              <w:top w:w="80" w:type="dxa"/>
              <w:start w:w="100" w:type="dxa"/>
              <w:bottom w:w="80" w:type="dxa"/>
              <w:end w:w="100" w:type="dxa"/>
            </w:tcMar>
            <w:vAlign w:val="center"/>
            <w:shd w:fill="F5F7F9"/>
          </w:tcPr>
          <w:p>
            <w:pPr>
              <w:spacing w:after="0"/>
            </w:pPr>
            <w:r/>
            <w:r>
              <w:rPr>
                <w:rFonts w:ascii="Aptos" w:hAnsi="Aptos"/>
                <w:b w:val="0"/>
                <w:color w:val="222222"/>
                <w:sz w:val="13"/>
              </w:rPr>
              <w:t>L-14, L-20</w:t>
            </w:r>
          </w:p>
        </w:tc>
        <w:tc>
          <w:tcPr>
            <w:tcW w:type="dxa" w:w="864"/>
            <w:tcMar>
              <w:top w:w="80" w:type="dxa"/>
              <w:start w:w="100" w:type="dxa"/>
              <w:bottom w:w="80" w:type="dxa"/>
              <w:end w:w="100" w:type="dxa"/>
            </w:tcMar>
            <w:vAlign w:val="center"/>
            <w:shd w:fill="F5F7F9"/>
          </w:tcPr>
          <w:p>
            <w:pPr>
              <w:spacing w:after="0"/>
            </w:pPr>
            <w:r/>
            <w:r>
              <w:rPr>
                <w:rFonts w:ascii="Aptos" w:hAnsi="Aptos"/>
                <w:b w:val="0"/>
                <w:color w:val="222222"/>
                <w:sz w:val="13"/>
              </w:rPr>
              <w:t>Open</w:t>
            </w:r>
          </w:p>
        </w:tc>
      </w:tr>
      <w:tr>
        <w:tc>
          <w:tcPr>
            <w:tcW w:type="dxa" w:w="792"/>
            <w:tcMar>
              <w:top w:w="80" w:type="dxa"/>
              <w:start w:w="100" w:type="dxa"/>
              <w:bottom w:w="80" w:type="dxa"/>
              <w:end w:w="100" w:type="dxa"/>
            </w:tcMar>
            <w:vAlign w:val="center"/>
            <w:shd w:fill="FFFFFF"/>
          </w:tcPr>
          <w:p>
            <w:pPr>
              <w:spacing w:after="0"/>
            </w:pPr>
            <w:r/>
            <w:r>
              <w:rPr>
                <w:rFonts w:ascii="Aptos" w:hAnsi="Aptos"/>
                <w:b w:val="0"/>
                <w:color w:val="222222"/>
                <w:sz w:val="13"/>
              </w:rPr>
              <w:t>P1-06</w:t>
            </w:r>
          </w:p>
        </w:tc>
        <w:tc>
          <w:tcPr>
            <w:tcW w:type="dxa" w:w="1152"/>
            <w:tcMar>
              <w:top w:w="80" w:type="dxa"/>
              <w:start w:w="100" w:type="dxa"/>
              <w:bottom w:w="80" w:type="dxa"/>
              <w:end w:w="100" w:type="dxa"/>
            </w:tcMar>
            <w:vAlign w:val="center"/>
            <w:shd w:fill="FFFFFF"/>
          </w:tcPr>
          <w:p>
            <w:pPr>
              <w:spacing w:after="0"/>
            </w:pPr>
            <w:r/>
            <w:r>
              <w:rPr>
                <w:rFonts w:ascii="Aptos" w:hAnsi="Aptos"/>
                <w:b w:val="0"/>
                <w:color w:val="222222"/>
                <w:sz w:val="13"/>
              </w:rPr>
              <w:t>0-90 days</w:t>
            </w:r>
          </w:p>
        </w:tc>
        <w:tc>
          <w:tcPr>
            <w:tcW w:type="dxa" w:w="3168"/>
            <w:tcMar>
              <w:top w:w="80" w:type="dxa"/>
              <w:start w:w="100" w:type="dxa"/>
              <w:bottom w:w="80" w:type="dxa"/>
              <w:end w:w="100" w:type="dxa"/>
            </w:tcMar>
            <w:vAlign w:val="center"/>
            <w:shd w:fill="FFFFFF"/>
          </w:tcPr>
          <w:p>
            <w:pPr>
              <w:spacing w:after="0"/>
            </w:pPr>
            <w:r/>
            <w:r>
              <w:rPr>
                <w:rFonts w:ascii="Aptos" w:hAnsi="Aptos"/>
                <w:b w:val="0"/>
                <w:color w:val="222222"/>
                <w:sz w:val="13"/>
              </w:rPr>
              <w:t>Update QuackTrack inventory fields for legal role, legal class, data, vendor and reassessment triggers</w:t>
            </w:r>
          </w:p>
        </w:tc>
        <w:tc>
          <w:tcPr>
            <w:tcW w:type="dxa" w:w="1872"/>
            <w:tcMar>
              <w:top w:w="80" w:type="dxa"/>
              <w:start w:w="100" w:type="dxa"/>
              <w:bottom w:w="80" w:type="dxa"/>
              <w:end w:w="100" w:type="dxa"/>
            </w:tcMar>
            <w:vAlign w:val="center"/>
            <w:shd w:fill="FFFFFF"/>
          </w:tcPr>
          <w:p>
            <w:pPr>
              <w:spacing w:after="0"/>
            </w:pPr>
            <w:r/>
            <w:r>
              <w:rPr>
                <w:rFonts w:ascii="Aptos" w:hAnsi="Aptos"/>
                <w:b w:val="0"/>
                <w:color w:val="222222"/>
                <w:sz w:val="13"/>
              </w:rPr>
              <w:t>AI Governance Lead</w:t>
            </w:r>
          </w:p>
        </w:tc>
        <w:tc>
          <w:tcPr>
            <w:tcW w:type="dxa" w:w="2376"/>
            <w:tcMar>
              <w:top w:w="80" w:type="dxa"/>
              <w:start w:w="100" w:type="dxa"/>
              <w:bottom w:w="80" w:type="dxa"/>
              <w:end w:w="100" w:type="dxa"/>
            </w:tcMar>
            <w:vAlign w:val="center"/>
            <w:shd w:fill="FFFFFF"/>
          </w:tcPr>
          <w:p>
            <w:pPr>
              <w:spacing w:after="0"/>
            </w:pPr>
            <w:r/>
            <w:r>
              <w:rPr>
                <w:rFonts w:ascii="Aptos" w:hAnsi="Aptos"/>
                <w:b w:val="0"/>
                <w:color w:val="222222"/>
                <w:sz w:val="13"/>
              </w:rPr>
              <w:t>Supports traceability and avoids conflating enterprise risk with legal classification.</w:t>
            </w:r>
          </w:p>
        </w:tc>
        <w:tc>
          <w:tcPr>
            <w:tcW w:type="dxa" w:w="1152"/>
            <w:tcMar>
              <w:top w:w="80" w:type="dxa"/>
              <w:start w:w="100" w:type="dxa"/>
              <w:bottom w:w="80" w:type="dxa"/>
              <w:end w:w="100" w:type="dxa"/>
            </w:tcMar>
            <w:vAlign w:val="center"/>
            <w:shd w:fill="FFFFFF"/>
          </w:tcPr>
          <w:p>
            <w:pPr>
              <w:spacing w:after="0"/>
            </w:pPr>
            <w:r/>
            <w:r>
              <w:rPr>
                <w:rFonts w:ascii="Aptos" w:hAnsi="Aptos"/>
                <w:b w:val="0"/>
                <w:color w:val="222222"/>
                <w:sz w:val="13"/>
              </w:rPr>
              <w:t>L-02, L-08</w:t>
            </w:r>
          </w:p>
        </w:tc>
        <w:tc>
          <w:tcPr>
            <w:tcW w:type="dxa" w:w="864"/>
            <w:tcMar>
              <w:top w:w="80" w:type="dxa"/>
              <w:start w:w="100" w:type="dxa"/>
              <w:bottom w:w="80" w:type="dxa"/>
              <w:end w:w="100" w:type="dxa"/>
            </w:tcMar>
            <w:vAlign w:val="center"/>
            <w:shd w:fill="FFFFFF"/>
          </w:tcPr>
          <w:p>
            <w:pPr>
              <w:spacing w:after="0"/>
            </w:pPr>
            <w:r/>
            <w:r>
              <w:rPr>
                <w:rFonts w:ascii="Aptos" w:hAnsi="Aptos"/>
                <w:b w:val="0"/>
                <w:color w:val="222222"/>
                <w:sz w:val="13"/>
              </w:rPr>
              <w:t>Open</w:t>
            </w:r>
          </w:p>
        </w:tc>
      </w:tr>
      <w:tr>
        <w:tc>
          <w:tcPr>
            <w:tcW w:type="dxa" w:w="792"/>
            <w:tcMar>
              <w:top w:w="80" w:type="dxa"/>
              <w:start w:w="100" w:type="dxa"/>
              <w:bottom w:w="80" w:type="dxa"/>
              <w:end w:w="100" w:type="dxa"/>
            </w:tcMar>
            <w:vAlign w:val="center"/>
            <w:shd w:fill="F5F7F9"/>
          </w:tcPr>
          <w:p>
            <w:pPr>
              <w:spacing w:after="0"/>
            </w:pPr>
            <w:r/>
            <w:r>
              <w:rPr>
                <w:rFonts w:ascii="Aptos" w:hAnsi="Aptos"/>
                <w:b w:val="0"/>
                <w:color w:val="222222"/>
                <w:sz w:val="13"/>
              </w:rPr>
              <w:t>P1-07</w:t>
            </w:r>
          </w:p>
        </w:tc>
        <w:tc>
          <w:tcPr>
            <w:tcW w:type="dxa" w:w="1152"/>
            <w:tcMar>
              <w:top w:w="80" w:type="dxa"/>
              <w:start w:w="100" w:type="dxa"/>
              <w:bottom w:w="80" w:type="dxa"/>
              <w:end w:w="100" w:type="dxa"/>
            </w:tcMar>
            <w:vAlign w:val="center"/>
            <w:shd w:fill="F5F7F9"/>
          </w:tcPr>
          <w:p>
            <w:pPr>
              <w:spacing w:after="0"/>
            </w:pPr>
            <w:r/>
            <w:r>
              <w:rPr>
                <w:rFonts w:ascii="Aptos" w:hAnsi="Aptos"/>
                <w:b w:val="0"/>
                <w:color w:val="222222"/>
                <w:sz w:val="13"/>
              </w:rPr>
              <w:t>0-90 days</w:t>
            </w:r>
          </w:p>
        </w:tc>
        <w:tc>
          <w:tcPr>
            <w:tcW w:type="dxa" w:w="3168"/>
            <w:tcMar>
              <w:top w:w="80" w:type="dxa"/>
              <w:start w:w="100" w:type="dxa"/>
              <w:bottom w:w="80" w:type="dxa"/>
              <w:end w:w="100" w:type="dxa"/>
            </w:tcMar>
            <w:vAlign w:val="center"/>
            <w:shd w:fill="F5F7F9"/>
          </w:tcPr>
          <w:p>
            <w:pPr>
              <w:spacing w:after="0"/>
            </w:pPr>
            <w:r/>
            <w:r>
              <w:rPr>
                <w:rFonts w:ascii="Aptos" w:hAnsi="Aptos"/>
                <w:b w:val="0"/>
                <w:color w:val="222222"/>
                <w:sz w:val="13"/>
              </w:rPr>
              <w:t>Establish a governed AI evidence repository / evidence index</w:t>
            </w:r>
          </w:p>
        </w:tc>
        <w:tc>
          <w:tcPr>
            <w:tcW w:type="dxa" w:w="1872"/>
            <w:tcMar>
              <w:top w:w="80" w:type="dxa"/>
              <w:start w:w="100" w:type="dxa"/>
              <w:bottom w:w="80" w:type="dxa"/>
              <w:end w:w="100" w:type="dxa"/>
            </w:tcMar>
            <w:vAlign w:val="center"/>
            <w:shd w:fill="F5F7F9"/>
          </w:tcPr>
          <w:p>
            <w:pPr>
              <w:spacing w:after="0"/>
            </w:pPr>
            <w:r/>
            <w:r>
              <w:rPr>
                <w:rFonts w:ascii="Aptos" w:hAnsi="Aptos"/>
                <w:b w:val="0"/>
                <w:color w:val="222222"/>
                <w:sz w:val="13"/>
              </w:rPr>
              <w:t>AI Governance / Control Owners</w:t>
            </w:r>
          </w:p>
        </w:tc>
        <w:tc>
          <w:tcPr>
            <w:tcW w:type="dxa" w:w="2376"/>
            <w:tcMar>
              <w:top w:w="80" w:type="dxa"/>
              <w:start w:w="100" w:type="dxa"/>
              <w:bottom w:w="80" w:type="dxa"/>
              <w:end w:w="100" w:type="dxa"/>
            </w:tcMar>
            <w:vAlign w:val="center"/>
            <w:shd w:fill="F5F7F9"/>
          </w:tcPr>
          <w:p>
            <w:pPr>
              <w:spacing w:after="0"/>
            </w:pPr>
            <w:r/>
            <w:r>
              <w:rPr>
                <w:rFonts w:ascii="Aptos" w:hAnsi="Aptos"/>
                <w:b w:val="0"/>
                <w:color w:val="222222"/>
                <w:sz w:val="13"/>
              </w:rPr>
              <w:t>Needed to prove operation of legal, risk and internal controls.</w:t>
            </w:r>
          </w:p>
        </w:tc>
        <w:tc>
          <w:tcPr>
            <w:tcW w:type="dxa" w:w="1152"/>
            <w:tcMar>
              <w:top w:w="80" w:type="dxa"/>
              <w:start w:w="100" w:type="dxa"/>
              <w:bottom w:w="80" w:type="dxa"/>
              <w:end w:w="100" w:type="dxa"/>
            </w:tcMar>
            <w:vAlign w:val="center"/>
            <w:shd w:fill="F5F7F9"/>
          </w:tcPr>
          <w:p>
            <w:pPr>
              <w:spacing w:after="0"/>
            </w:pPr>
            <w:r/>
            <w:r>
              <w:rPr>
                <w:rFonts w:ascii="Aptos" w:hAnsi="Aptos"/>
                <w:b w:val="0"/>
                <w:color w:val="222222"/>
                <w:sz w:val="13"/>
              </w:rPr>
              <w:t>Internal governance conclusion</w:t>
            </w:r>
          </w:p>
        </w:tc>
        <w:tc>
          <w:tcPr>
            <w:tcW w:type="dxa" w:w="864"/>
            <w:tcMar>
              <w:top w:w="80" w:type="dxa"/>
              <w:start w:w="100" w:type="dxa"/>
              <w:bottom w:w="80" w:type="dxa"/>
              <w:end w:w="100" w:type="dxa"/>
            </w:tcMar>
            <w:vAlign w:val="center"/>
            <w:shd w:fill="F5F7F9"/>
          </w:tcPr>
          <w:p>
            <w:pPr>
              <w:spacing w:after="0"/>
            </w:pPr>
            <w:r/>
            <w:r>
              <w:rPr>
                <w:rFonts w:ascii="Aptos" w:hAnsi="Aptos"/>
                <w:b w:val="0"/>
                <w:color w:val="222222"/>
                <w:sz w:val="13"/>
              </w:rPr>
              <w:t>Open</w:t>
            </w:r>
          </w:p>
        </w:tc>
      </w:tr>
      <w:tr>
        <w:tc>
          <w:tcPr>
            <w:tcW w:type="dxa" w:w="792"/>
            <w:tcMar>
              <w:top w:w="80" w:type="dxa"/>
              <w:start w:w="100" w:type="dxa"/>
              <w:bottom w:w="80" w:type="dxa"/>
              <w:end w:w="100" w:type="dxa"/>
            </w:tcMar>
            <w:vAlign w:val="center"/>
            <w:shd w:fill="FFFFFF"/>
          </w:tcPr>
          <w:p>
            <w:pPr>
              <w:spacing w:after="0"/>
            </w:pPr>
            <w:r/>
            <w:r>
              <w:rPr>
                <w:rFonts w:ascii="Aptos" w:hAnsi="Aptos"/>
                <w:b w:val="0"/>
                <w:color w:val="222222"/>
                <w:sz w:val="13"/>
              </w:rPr>
              <w:t>P2-01</w:t>
            </w:r>
          </w:p>
        </w:tc>
        <w:tc>
          <w:tcPr>
            <w:tcW w:type="dxa" w:w="1152"/>
            <w:tcMar>
              <w:top w:w="80" w:type="dxa"/>
              <w:start w:w="100" w:type="dxa"/>
              <w:bottom w:w="80" w:type="dxa"/>
              <w:end w:w="100" w:type="dxa"/>
            </w:tcMar>
            <w:vAlign w:val="center"/>
            <w:shd w:fill="FFFFFF"/>
          </w:tcPr>
          <w:p>
            <w:pPr>
              <w:spacing w:after="0"/>
            </w:pPr>
            <w:r/>
            <w:r>
              <w:rPr>
                <w:rFonts w:ascii="Aptos" w:hAnsi="Aptos"/>
                <w:b w:val="0"/>
                <w:color w:val="222222"/>
                <w:sz w:val="13"/>
              </w:rPr>
              <w:t>2027 readiness</w:t>
            </w:r>
          </w:p>
        </w:tc>
        <w:tc>
          <w:tcPr>
            <w:tcW w:type="dxa" w:w="3168"/>
            <w:tcMar>
              <w:top w:w="80" w:type="dxa"/>
              <w:start w:w="100" w:type="dxa"/>
              <w:bottom w:w="80" w:type="dxa"/>
              <w:end w:w="100" w:type="dxa"/>
            </w:tcMar>
            <w:vAlign w:val="center"/>
            <w:shd w:fill="FFFFFF"/>
          </w:tcPr>
          <w:p>
            <w:pPr>
              <w:spacing w:after="0"/>
            </w:pPr>
            <w:r/>
            <w:r>
              <w:rPr>
                <w:rFonts w:ascii="Aptos" w:hAnsi="Aptos"/>
                <w:b w:val="0"/>
                <w:color w:val="222222"/>
                <w:sz w:val="13"/>
              </w:rPr>
              <w:t>Build DuckTalent high-risk provider/deployer readiness pack</w:t>
            </w:r>
          </w:p>
        </w:tc>
        <w:tc>
          <w:tcPr>
            <w:tcW w:type="dxa" w:w="1872"/>
            <w:tcMar>
              <w:top w:w="80" w:type="dxa"/>
              <w:start w:w="100" w:type="dxa"/>
              <w:bottom w:w="80" w:type="dxa"/>
              <w:end w:w="100" w:type="dxa"/>
            </w:tcMar>
            <w:vAlign w:val="center"/>
            <w:shd w:fill="FFFFFF"/>
          </w:tcPr>
          <w:p>
            <w:pPr>
              <w:spacing w:after="0"/>
            </w:pPr>
            <w:r/>
            <w:r>
              <w:rPr>
                <w:rFonts w:ascii="Aptos" w:hAnsi="Aptos"/>
                <w:b w:val="0"/>
                <w:color w:val="222222"/>
                <w:sz w:val="13"/>
              </w:rPr>
              <w:t>HR / Data &amp; AI / Legal / Risk</w:t>
            </w:r>
          </w:p>
        </w:tc>
        <w:tc>
          <w:tcPr>
            <w:tcW w:type="dxa" w:w="2376"/>
            <w:tcMar>
              <w:top w:w="80" w:type="dxa"/>
              <w:start w:w="100" w:type="dxa"/>
              <w:bottom w:w="80" w:type="dxa"/>
              <w:end w:w="100" w:type="dxa"/>
            </w:tcMar>
            <w:vAlign w:val="center"/>
            <w:shd w:fill="FFFFFF"/>
          </w:tcPr>
          <w:p>
            <w:pPr>
              <w:spacing w:after="0"/>
            </w:pPr>
            <w:r/>
            <w:r>
              <w:rPr>
                <w:rFonts w:ascii="Aptos" w:hAnsi="Aptos"/>
                <w:b w:val="0"/>
                <w:color w:val="222222"/>
                <w:sz w:val="13"/>
              </w:rPr>
              <w:t>Future Arts. 8-26 obligations may require QMS, risk management, data governance, technical documentation, logs, oversight and monitoring.</w:t>
            </w:r>
          </w:p>
        </w:tc>
        <w:tc>
          <w:tcPr>
            <w:tcW w:type="dxa" w:w="1152"/>
            <w:tcMar>
              <w:top w:w="80" w:type="dxa"/>
              <w:start w:w="100" w:type="dxa"/>
              <w:bottom w:w="80" w:type="dxa"/>
              <w:end w:w="100" w:type="dxa"/>
            </w:tcMar>
            <w:vAlign w:val="center"/>
            <w:shd w:fill="FFFFFF"/>
          </w:tcPr>
          <w:p>
            <w:pPr>
              <w:spacing w:after="0"/>
            </w:pPr>
            <w:r/>
            <w:r>
              <w:rPr>
                <w:rFonts w:ascii="Aptos" w:hAnsi="Aptos"/>
                <w:b w:val="0"/>
                <w:color w:val="222222"/>
                <w:sz w:val="13"/>
              </w:rPr>
              <w:t>L-11, L-12, L-35</w:t>
            </w:r>
          </w:p>
        </w:tc>
        <w:tc>
          <w:tcPr>
            <w:tcW w:type="dxa" w:w="864"/>
            <w:tcMar>
              <w:top w:w="80" w:type="dxa"/>
              <w:start w:w="100" w:type="dxa"/>
              <w:bottom w:w="80" w:type="dxa"/>
              <w:end w:w="100" w:type="dxa"/>
            </w:tcMar>
            <w:vAlign w:val="center"/>
            <w:shd w:fill="FFFFFF"/>
          </w:tcPr>
          <w:p>
            <w:pPr>
              <w:spacing w:after="0"/>
            </w:pPr>
            <w:r/>
            <w:r>
              <w:rPr>
                <w:rFonts w:ascii="Aptos" w:hAnsi="Aptos"/>
                <w:b w:val="0"/>
                <w:color w:val="222222"/>
                <w:sz w:val="13"/>
              </w:rPr>
              <w:t>Planned</w:t>
            </w:r>
          </w:p>
        </w:tc>
      </w:tr>
      <w:tr>
        <w:tc>
          <w:tcPr>
            <w:tcW w:type="dxa" w:w="792"/>
            <w:tcMar>
              <w:top w:w="80" w:type="dxa"/>
              <w:start w:w="100" w:type="dxa"/>
              <w:bottom w:w="80" w:type="dxa"/>
              <w:end w:w="100" w:type="dxa"/>
            </w:tcMar>
            <w:vAlign w:val="center"/>
            <w:shd w:fill="F5F7F9"/>
          </w:tcPr>
          <w:p>
            <w:pPr>
              <w:spacing w:after="0"/>
            </w:pPr>
            <w:r/>
            <w:r>
              <w:rPr>
                <w:rFonts w:ascii="Aptos" w:hAnsi="Aptos"/>
                <w:b w:val="0"/>
                <w:color w:val="222222"/>
                <w:sz w:val="13"/>
              </w:rPr>
              <w:t>P2-02</w:t>
            </w:r>
          </w:p>
        </w:tc>
        <w:tc>
          <w:tcPr>
            <w:tcW w:type="dxa" w:w="1152"/>
            <w:tcMar>
              <w:top w:w="80" w:type="dxa"/>
              <w:start w:w="100" w:type="dxa"/>
              <w:bottom w:w="80" w:type="dxa"/>
              <w:end w:w="100" w:type="dxa"/>
            </w:tcMar>
            <w:vAlign w:val="center"/>
            <w:shd w:fill="F5F7F9"/>
          </w:tcPr>
          <w:p>
            <w:pPr>
              <w:spacing w:after="0"/>
            </w:pPr>
            <w:r/>
            <w:r>
              <w:rPr>
                <w:rFonts w:ascii="Aptos" w:hAnsi="Aptos"/>
                <w:b w:val="0"/>
                <w:color w:val="222222"/>
                <w:sz w:val="13"/>
              </w:rPr>
              <w:t>2027 readiness</w:t>
            </w:r>
          </w:p>
        </w:tc>
        <w:tc>
          <w:tcPr>
            <w:tcW w:type="dxa" w:w="3168"/>
            <w:tcMar>
              <w:top w:w="80" w:type="dxa"/>
              <w:start w:w="100" w:type="dxa"/>
              <w:bottom w:w="80" w:type="dxa"/>
              <w:end w:w="100" w:type="dxa"/>
            </w:tcMar>
            <w:vAlign w:val="center"/>
            <w:shd w:fill="F5F7F9"/>
          </w:tcPr>
          <w:p>
            <w:pPr>
              <w:spacing w:after="0"/>
            </w:pPr>
            <w:r/>
            <w:r>
              <w:rPr>
                <w:rFonts w:ascii="Aptos" w:hAnsi="Aptos"/>
                <w:b w:val="0"/>
                <w:color w:val="222222"/>
                <w:sz w:val="13"/>
              </w:rPr>
              <w:t>Prepare Machinery Regulation transition evidence</w:t>
            </w:r>
          </w:p>
        </w:tc>
        <w:tc>
          <w:tcPr>
            <w:tcW w:type="dxa" w:w="1872"/>
            <w:tcMar>
              <w:top w:w="80" w:type="dxa"/>
              <w:start w:w="100" w:type="dxa"/>
              <w:bottom w:w="80" w:type="dxa"/>
              <w:end w:w="100" w:type="dxa"/>
            </w:tcMar>
            <w:vAlign w:val="center"/>
            <w:shd w:fill="F5F7F9"/>
          </w:tcPr>
          <w:p>
            <w:pPr>
              <w:spacing w:after="0"/>
            </w:pPr>
            <w:r/>
            <w:r>
              <w:rPr>
                <w:rFonts w:ascii="Aptos" w:hAnsi="Aptos"/>
                <w:b w:val="0"/>
                <w:color w:val="222222"/>
                <w:sz w:val="13"/>
              </w:rPr>
              <w:t>Product Engineering / Product Safety</w:t>
            </w:r>
          </w:p>
        </w:tc>
        <w:tc>
          <w:tcPr>
            <w:tcW w:type="dxa" w:w="2376"/>
            <w:tcMar>
              <w:top w:w="80" w:type="dxa"/>
              <w:start w:w="100" w:type="dxa"/>
              <w:bottom w:w="80" w:type="dxa"/>
              <w:end w:w="100" w:type="dxa"/>
            </w:tcMar>
            <w:vAlign w:val="center"/>
            <w:shd w:fill="F5F7F9"/>
          </w:tcPr>
          <w:p>
            <w:pPr>
              <w:spacing w:after="0"/>
            </w:pPr>
            <w:r/>
            <w:r>
              <w:rPr>
                <w:rFonts w:ascii="Aptos" w:hAnsi="Aptos"/>
                <w:b w:val="0"/>
                <w:color w:val="222222"/>
                <w:sz w:val="13"/>
              </w:rPr>
              <w:t>Machinery Regulation generally applies from 20 Jan 2027.</w:t>
            </w:r>
          </w:p>
        </w:tc>
        <w:tc>
          <w:tcPr>
            <w:tcW w:type="dxa" w:w="1152"/>
            <w:tcMar>
              <w:top w:w="80" w:type="dxa"/>
              <w:start w:w="100" w:type="dxa"/>
              <w:bottom w:w="80" w:type="dxa"/>
              <w:end w:w="100" w:type="dxa"/>
            </w:tcMar>
            <w:vAlign w:val="center"/>
            <w:shd w:fill="F5F7F9"/>
          </w:tcPr>
          <w:p>
            <w:pPr>
              <w:spacing w:after="0"/>
            </w:pPr>
            <w:r/>
            <w:r>
              <w:rPr>
                <w:rFonts w:ascii="Aptos" w:hAnsi="Aptos"/>
                <w:b w:val="0"/>
                <w:color w:val="222222"/>
                <w:sz w:val="13"/>
              </w:rPr>
              <w:t>L-27</w:t>
            </w:r>
          </w:p>
        </w:tc>
        <w:tc>
          <w:tcPr>
            <w:tcW w:type="dxa" w:w="864"/>
            <w:tcMar>
              <w:top w:w="80" w:type="dxa"/>
              <w:start w:w="100" w:type="dxa"/>
              <w:bottom w:w="80" w:type="dxa"/>
              <w:end w:w="100" w:type="dxa"/>
            </w:tcMar>
            <w:vAlign w:val="center"/>
            <w:shd w:fill="F5F7F9"/>
          </w:tcPr>
          <w:p>
            <w:pPr>
              <w:spacing w:after="0"/>
            </w:pPr>
            <w:r/>
            <w:r>
              <w:rPr>
                <w:rFonts w:ascii="Aptos" w:hAnsi="Aptos"/>
                <w:b w:val="0"/>
                <w:color w:val="222222"/>
                <w:sz w:val="13"/>
              </w:rPr>
              <w:t>Planned</w:t>
            </w:r>
          </w:p>
        </w:tc>
      </w:tr>
      <w:tr>
        <w:tc>
          <w:tcPr>
            <w:tcW w:type="dxa" w:w="792"/>
            <w:tcMar>
              <w:top w:w="80" w:type="dxa"/>
              <w:start w:w="100" w:type="dxa"/>
              <w:bottom w:w="80" w:type="dxa"/>
              <w:end w:w="100" w:type="dxa"/>
            </w:tcMar>
            <w:vAlign w:val="center"/>
            <w:shd w:fill="FFFFFF"/>
          </w:tcPr>
          <w:p>
            <w:pPr>
              <w:spacing w:after="0"/>
            </w:pPr>
            <w:r/>
            <w:r>
              <w:rPr>
                <w:rFonts w:ascii="Aptos" w:hAnsi="Aptos"/>
                <w:b w:val="0"/>
                <w:color w:val="222222"/>
                <w:sz w:val="13"/>
              </w:rPr>
              <w:t>P2-03</w:t>
            </w:r>
          </w:p>
        </w:tc>
        <w:tc>
          <w:tcPr>
            <w:tcW w:type="dxa" w:w="1152"/>
            <w:tcMar>
              <w:top w:w="80" w:type="dxa"/>
              <w:start w:w="100" w:type="dxa"/>
              <w:bottom w:w="80" w:type="dxa"/>
              <w:end w:w="100" w:type="dxa"/>
            </w:tcMar>
            <w:vAlign w:val="center"/>
            <w:shd w:fill="FFFFFF"/>
          </w:tcPr>
          <w:p>
            <w:pPr>
              <w:spacing w:after="0"/>
            </w:pPr>
            <w:r/>
            <w:r>
              <w:rPr>
                <w:rFonts w:ascii="Aptos" w:hAnsi="Aptos"/>
                <w:b w:val="0"/>
                <w:color w:val="222222"/>
                <w:sz w:val="13"/>
              </w:rPr>
              <w:t>2027 readiness</w:t>
            </w:r>
          </w:p>
        </w:tc>
        <w:tc>
          <w:tcPr>
            <w:tcW w:type="dxa" w:w="3168"/>
            <w:tcMar>
              <w:top w:w="80" w:type="dxa"/>
              <w:start w:w="100" w:type="dxa"/>
              <w:bottom w:w="80" w:type="dxa"/>
              <w:end w:w="100" w:type="dxa"/>
            </w:tcMar>
            <w:vAlign w:val="center"/>
            <w:shd w:fill="FFFFFF"/>
          </w:tcPr>
          <w:p>
            <w:pPr>
              <w:spacing w:after="0"/>
            </w:pPr>
            <w:r/>
            <w:r>
              <w:rPr>
                <w:rFonts w:ascii="Aptos" w:hAnsi="Aptos"/>
                <w:b w:val="0"/>
                <w:color w:val="222222"/>
                <w:sz w:val="13"/>
              </w:rPr>
              <w:t>Prepare full CRA lifecycle compliance for in-scope products</w:t>
            </w:r>
          </w:p>
        </w:tc>
        <w:tc>
          <w:tcPr>
            <w:tcW w:type="dxa" w:w="1872"/>
            <w:tcMar>
              <w:top w:w="80" w:type="dxa"/>
              <w:start w:w="100" w:type="dxa"/>
              <w:bottom w:w="80" w:type="dxa"/>
              <w:end w:w="100" w:type="dxa"/>
            </w:tcMar>
            <w:vAlign w:val="center"/>
            <w:shd w:fill="FFFFFF"/>
          </w:tcPr>
          <w:p>
            <w:pPr>
              <w:spacing w:after="0"/>
            </w:pPr>
            <w:r/>
            <w:r>
              <w:rPr>
                <w:rFonts w:ascii="Aptos" w:hAnsi="Aptos"/>
                <w:b w:val="0"/>
                <w:color w:val="222222"/>
                <w:sz w:val="13"/>
              </w:rPr>
              <w:t>Product Security / Engineering</w:t>
            </w:r>
          </w:p>
        </w:tc>
        <w:tc>
          <w:tcPr>
            <w:tcW w:type="dxa" w:w="2376"/>
            <w:tcMar>
              <w:top w:w="80" w:type="dxa"/>
              <w:start w:w="100" w:type="dxa"/>
              <w:bottom w:w="80" w:type="dxa"/>
              <w:end w:w="100" w:type="dxa"/>
            </w:tcMar>
            <w:vAlign w:val="center"/>
            <w:shd w:fill="FFFFFF"/>
          </w:tcPr>
          <w:p>
            <w:pPr>
              <w:spacing w:after="0"/>
            </w:pPr>
            <w:r/>
            <w:r>
              <w:rPr>
                <w:rFonts w:ascii="Aptos" w:hAnsi="Aptos"/>
                <w:b w:val="0"/>
                <w:color w:val="222222"/>
                <w:sz w:val="13"/>
              </w:rPr>
              <w:t>Main CRA obligations apply 11 Dec 2027.</w:t>
            </w:r>
          </w:p>
        </w:tc>
        <w:tc>
          <w:tcPr>
            <w:tcW w:type="dxa" w:w="1152"/>
            <w:tcMar>
              <w:top w:w="80" w:type="dxa"/>
              <w:start w:w="100" w:type="dxa"/>
              <w:bottom w:w="80" w:type="dxa"/>
              <w:end w:w="100" w:type="dxa"/>
            </w:tcMar>
            <w:vAlign w:val="center"/>
            <w:shd w:fill="FFFFFF"/>
          </w:tcPr>
          <w:p>
            <w:pPr>
              <w:spacing w:after="0"/>
            </w:pPr>
            <w:r/>
            <w:r>
              <w:rPr>
                <w:rFonts w:ascii="Aptos" w:hAnsi="Aptos"/>
                <w:b w:val="0"/>
                <w:color w:val="222222"/>
                <w:sz w:val="13"/>
              </w:rPr>
              <w:t>L-31</w:t>
            </w:r>
          </w:p>
        </w:tc>
        <w:tc>
          <w:tcPr>
            <w:tcW w:type="dxa" w:w="864"/>
            <w:tcMar>
              <w:top w:w="80" w:type="dxa"/>
              <w:start w:w="100" w:type="dxa"/>
              <w:bottom w:w="80" w:type="dxa"/>
              <w:end w:w="100" w:type="dxa"/>
            </w:tcMar>
            <w:vAlign w:val="center"/>
            <w:shd w:fill="FFFFFF"/>
          </w:tcPr>
          <w:p>
            <w:pPr>
              <w:spacing w:after="0"/>
            </w:pPr>
            <w:r/>
            <w:r>
              <w:rPr>
                <w:rFonts w:ascii="Aptos" w:hAnsi="Aptos"/>
                <w:b w:val="0"/>
                <w:color w:val="222222"/>
                <w:sz w:val="13"/>
              </w:rPr>
              <w:t>Planned</w:t>
            </w:r>
          </w:p>
        </w:tc>
      </w:tr>
      <w:tr>
        <w:tc>
          <w:tcPr>
            <w:tcW w:type="dxa" w:w="792"/>
            <w:tcMar>
              <w:top w:w="80" w:type="dxa"/>
              <w:start w:w="100" w:type="dxa"/>
              <w:bottom w:w="80" w:type="dxa"/>
              <w:end w:w="100" w:type="dxa"/>
            </w:tcMar>
            <w:vAlign w:val="center"/>
            <w:shd w:fill="F5F7F9"/>
          </w:tcPr>
          <w:p>
            <w:pPr>
              <w:spacing w:after="0"/>
            </w:pPr>
            <w:r/>
            <w:r>
              <w:rPr>
                <w:rFonts w:ascii="Aptos" w:hAnsi="Aptos"/>
                <w:b w:val="0"/>
                <w:color w:val="222222"/>
                <w:sz w:val="13"/>
              </w:rPr>
              <w:t>P2-04</w:t>
            </w:r>
          </w:p>
        </w:tc>
        <w:tc>
          <w:tcPr>
            <w:tcW w:type="dxa" w:w="1152"/>
            <w:tcMar>
              <w:top w:w="80" w:type="dxa"/>
              <w:start w:w="100" w:type="dxa"/>
              <w:bottom w:w="80" w:type="dxa"/>
              <w:end w:w="100" w:type="dxa"/>
            </w:tcMar>
            <w:vAlign w:val="center"/>
            <w:shd w:fill="F5F7F9"/>
          </w:tcPr>
          <w:p>
            <w:pPr>
              <w:spacing w:after="0"/>
            </w:pPr>
            <w:r/>
            <w:r>
              <w:rPr>
                <w:rFonts w:ascii="Aptos" w:hAnsi="Aptos"/>
                <w:b w:val="0"/>
                <w:color w:val="222222"/>
                <w:sz w:val="13"/>
              </w:rPr>
              <w:t>2027-2028 readiness</w:t>
            </w:r>
          </w:p>
        </w:tc>
        <w:tc>
          <w:tcPr>
            <w:tcW w:type="dxa" w:w="3168"/>
            <w:tcMar>
              <w:top w:w="80" w:type="dxa"/>
              <w:start w:w="100" w:type="dxa"/>
              <w:bottom w:w="80" w:type="dxa"/>
              <w:end w:w="100" w:type="dxa"/>
            </w:tcMar>
            <w:vAlign w:val="center"/>
            <w:shd w:fill="F5F7F9"/>
          </w:tcPr>
          <w:p>
            <w:pPr>
              <w:spacing w:after="0"/>
            </w:pPr>
            <w:r/>
            <w:r>
              <w:rPr>
                <w:rFonts w:ascii="Aptos" w:hAnsi="Aptos"/>
                <w:b w:val="0"/>
                <w:color w:val="222222"/>
                <w:sz w:val="13"/>
              </w:rPr>
              <w:t>Assess Art. 6(1) product-route high-risk AI and conformity integration</w:t>
            </w:r>
          </w:p>
        </w:tc>
        <w:tc>
          <w:tcPr>
            <w:tcW w:type="dxa" w:w="1872"/>
            <w:tcMar>
              <w:top w:w="80" w:type="dxa"/>
              <w:start w:w="100" w:type="dxa"/>
              <w:bottom w:w="80" w:type="dxa"/>
              <w:end w:w="100" w:type="dxa"/>
            </w:tcMar>
            <w:vAlign w:val="center"/>
            <w:shd w:fill="F5F7F9"/>
          </w:tcPr>
          <w:p>
            <w:pPr>
              <w:spacing w:after="0"/>
            </w:pPr>
            <w:r/>
            <w:r>
              <w:rPr>
                <w:rFonts w:ascii="Aptos" w:hAnsi="Aptos"/>
                <w:b w:val="0"/>
                <w:color w:val="222222"/>
                <w:sz w:val="13"/>
              </w:rPr>
              <w:t>Legal / Product Safety / AI Governance</w:t>
            </w:r>
          </w:p>
        </w:tc>
        <w:tc>
          <w:tcPr>
            <w:tcW w:type="dxa" w:w="2376"/>
            <w:tcMar>
              <w:top w:w="80" w:type="dxa"/>
              <w:start w:w="100" w:type="dxa"/>
              <w:bottom w:w="80" w:type="dxa"/>
              <w:end w:w="100" w:type="dxa"/>
            </w:tcMar>
            <w:vAlign w:val="center"/>
            <w:shd w:fill="F5F7F9"/>
          </w:tcPr>
          <w:p>
            <w:pPr>
              <w:spacing w:after="0"/>
            </w:pPr>
            <w:r/>
            <w:r>
              <w:rPr>
                <w:rFonts w:ascii="Aptos" w:hAnsi="Aptos"/>
                <w:b w:val="0"/>
                <w:color w:val="222222"/>
                <w:sz w:val="13"/>
              </w:rPr>
              <w:t>Product-integrated high-risk AI duties apply from 2 Aug 2028 if statutory criteria are met.</w:t>
            </w:r>
          </w:p>
        </w:tc>
        <w:tc>
          <w:tcPr>
            <w:tcW w:type="dxa" w:w="1152"/>
            <w:tcMar>
              <w:top w:w="80" w:type="dxa"/>
              <w:start w:w="100" w:type="dxa"/>
              <w:bottom w:w="80" w:type="dxa"/>
              <w:end w:w="100" w:type="dxa"/>
            </w:tcMar>
            <w:vAlign w:val="center"/>
            <w:shd w:fill="F5F7F9"/>
          </w:tcPr>
          <w:p>
            <w:pPr>
              <w:spacing w:after="0"/>
            </w:pPr>
            <w:r/>
            <w:r>
              <w:rPr>
                <w:rFonts w:ascii="Aptos" w:hAnsi="Aptos"/>
                <w:b w:val="0"/>
                <w:color w:val="222222"/>
                <w:sz w:val="13"/>
              </w:rPr>
              <w:t>L-28, L-15</w:t>
            </w:r>
          </w:p>
        </w:tc>
        <w:tc>
          <w:tcPr>
            <w:tcW w:type="dxa" w:w="864"/>
            <w:tcMar>
              <w:top w:w="80" w:type="dxa"/>
              <w:start w:w="100" w:type="dxa"/>
              <w:bottom w:w="80" w:type="dxa"/>
              <w:end w:w="100" w:type="dxa"/>
            </w:tcMar>
            <w:vAlign w:val="center"/>
            <w:shd w:fill="F5F7F9"/>
          </w:tcPr>
          <w:p>
            <w:pPr>
              <w:spacing w:after="0"/>
            </w:pPr>
            <w:r/>
            <w:r>
              <w:rPr>
                <w:rFonts w:ascii="Aptos" w:hAnsi="Aptos"/>
                <w:b w:val="0"/>
                <w:color w:val="222222"/>
                <w:sz w:val="13"/>
              </w:rPr>
              <w:t>Planned</w:t>
            </w:r>
          </w:p>
        </w:tc>
      </w:tr>
    </w:tbl>
    <w:p>
      <w:pPr>
        <w:pStyle w:val="Heading1"/>
        <w:keepNext/>
      </w:pPr>
      <w:r>
        <w:t>8. Regulatory and Readiness Timeline</w:t>
      </w:r>
    </w:p>
    <w:tbl>
      <w:tblPr>
        <w:tblW w:type="auto" w:w="0"/>
        <w:jc w:val="center"/>
        <w:tblLayout w:type="fixed"/>
        <w:tblLook w:firstColumn="1" w:firstRow="1" w:lastColumn="0" w:lastRow="0" w:noHBand="0" w:noVBand="1" w:val="04A0"/>
      </w:tblPr>
      <w:tblGrid>
        <w:gridCol w:w="2473"/>
        <w:gridCol w:w="2473"/>
        <w:gridCol w:w="2473"/>
        <w:gridCol w:w="2473"/>
      </w:tblGrid>
      <w:tr>
        <w:tc>
          <w:tcPr>
            <w:tcW w:type="dxa" w:w="1512"/>
            <w:tcMar>
              <w:top w:w="80" w:type="dxa"/>
              <w:start w:w="100" w:type="dxa"/>
              <w:bottom w:w="80" w:type="dxa"/>
              <w:end w:w="100" w:type="dxa"/>
            </w:tcMar>
            <w:vAlign w:val="center"/>
            <w:shd w:fill="17324D"/>
          </w:tcPr>
          <w:p>
            <w:pPr>
              <w:spacing w:after="0"/>
            </w:pPr>
            <w:r/>
            <w:r>
              <w:rPr>
                <w:rFonts w:ascii="Aptos" w:hAnsi="Aptos"/>
                <w:b/>
                <w:color w:val="FFFFFF"/>
                <w:sz w:val="16"/>
              </w:rPr>
              <w:t>Date</w:t>
            </w:r>
          </w:p>
        </w:tc>
        <w:tc>
          <w:tcPr>
            <w:tcW w:type="dxa" w:w="1440"/>
            <w:tcMar>
              <w:top w:w="80" w:type="dxa"/>
              <w:start w:w="100" w:type="dxa"/>
              <w:bottom w:w="80" w:type="dxa"/>
              <w:end w:w="100" w:type="dxa"/>
            </w:tcMar>
            <w:vAlign w:val="center"/>
            <w:shd w:fill="17324D"/>
          </w:tcPr>
          <w:p>
            <w:pPr>
              <w:spacing w:after="0"/>
            </w:pPr>
            <w:r/>
            <w:r>
              <w:rPr>
                <w:rFonts w:ascii="Aptos" w:hAnsi="Aptos"/>
                <w:b/>
                <w:color w:val="FFFFFF"/>
                <w:sz w:val="16"/>
              </w:rPr>
              <w:t>Regime</w:t>
            </w:r>
          </w:p>
        </w:tc>
        <w:tc>
          <w:tcPr>
            <w:tcW w:type="dxa" w:w="3240"/>
            <w:tcMar>
              <w:top w:w="80" w:type="dxa"/>
              <w:start w:w="100" w:type="dxa"/>
              <w:bottom w:w="80" w:type="dxa"/>
              <w:end w:w="100" w:type="dxa"/>
            </w:tcMar>
            <w:vAlign w:val="center"/>
            <w:shd w:fill="17324D"/>
          </w:tcPr>
          <w:p>
            <w:pPr>
              <w:spacing w:after="0"/>
            </w:pPr>
            <w:r/>
            <w:r>
              <w:rPr>
                <w:rFonts w:ascii="Aptos" w:hAnsi="Aptos"/>
                <w:b/>
                <w:color w:val="FFFFFF"/>
                <w:sz w:val="16"/>
              </w:rPr>
              <w:t>Milestone</w:t>
            </w:r>
          </w:p>
        </w:tc>
        <w:tc>
          <w:tcPr>
            <w:tcW w:type="dxa" w:w="4536"/>
            <w:tcMar>
              <w:top w:w="80" w:type="dxa"/>
              <w:start w:w="100" w:type="dxa"/>
              <w:bottom w:w="80" w:type="dxa"/>
              <w:end w:w="100" w:type="dxa"/>
            </w:tcMar>
            <w:vAlign w:val="center"/>
            <w:shd w:fill="17324D"/>
          </w:tcPr>
          <w:p>
            <w:pPr>
              <w:spacing w:after="0"/>
            </w:pPr>
            <w:r/>
            <w:r>
              <w:rPr>
                <w:rFonts w:ascii="Aptos" w:hAnsi="Aptos"/>
                <w:b/>
                <w:color w:val="FFFFFF"/>
                <w:sz w:val="16"/>
              </w:rPr>
              <w:t>Duckworks implication</w:t>
            </w:r>
          </w:p>
        </w:tc>
      </w:tr>
      <w:tr>
        <w:tc>
          <w:tcPr>
            <w:tcW w:type="dxa" w:w="1512"/>
            <w:tcMar>
              <w:top w:w="80" w:type="dxa"/>
              <w:start w:w="100" w:type="dxa"/>
              <w:bottom w:w="80" w:type="dxa"/>
              <w:end w:w="100" w:type="dxa"/>
            </w:tcMar>
            <w:vAlign w:val="center"/>
            <w:shd w:fill="FFFFFF"/>
          </w:tcPr>
          <w:p>
            <w:pPr>
              <w:spacing w:after="0"/>
            </w:pPr>
            <w:r/>
            <w:r>
              <w:rPr>
                <w:rFonts w:ascii="Aptos" w:hAnsi="Aptos"/>
                <w:b w:val="0"/>
                <w:color w:val="222222"/>
                <w:sz w:val="16"/>
              </w:rPr>
              <w:t>2025-02-02</w:t>
            </w:r>
          </w:p>
        </w:tc>
        <w:tc>
          <w:tcPr>
            <w:tcW w:type="dxa" w:w="1440"/>
            <w:tcMar>
              <w:top w:w="80" w:type="dxa"/>
              <w:start w:w="100" w:type="dxa"/>
              <w:bottom w:w="80" w:type="dxa"/>
              <w:end w:w="100" w:type="dxa"/>
            </w:tcMar>
            <w:vAlign w:val="center"/>
            <w:shd w:fill="FFFFFF"/>
          </w:tcPr>
          <w:p>
            <w:pPr>
              <w:spacing w:after="0"/>
            </w:pPr>
            <w:r/>
            <w:r>
              <w:rPr>
                <w:rFonts w:ascii="Aptos" w:hAnsi="Aptos"/>
                <w:b w:val="0"/>
                <w:color w:val="222222"/>
                <w:sz w:val="16"/>
              </w:rPr>
              <w:t>AI Act</w:t>
            </w:r>
          </w:p>
        </w:tc>
        <w:tc>
          <w:tcPr>
            <w:tcW w:type="dxa" w:w="3240"/>
            <w:tcMar>
              <w:top w:w="80" w:type="dxa"/>
              <w:start w:w="100" w:type="dxa"/>
              <w:bottom w:w="80" w:type="dxa"/>
              <w:end w:w="100" w:type="dxa"/>
            </w:tcMar>
            <w:vAlign w:val="center"/>
            <w:shd w:fill="FFFFFF"/>
          </w:tcPr>
          <w:p>
            <w:pPr>
              <w:spacing w:after="0"/>
            </w:pPr>
            <w:r/>
            <w:r>
              <w:rPr>
                <w:rFonts w:ascii="Aptos" w:hAnsi="Aptos"/>
                <w:b w:val="0"/>
                <w:color w:val="222222"/>
                <w:sz w:val="16"/>
              </w:rPr>
              <w:t>AI literacy (Art. 4) and first set of prohibited practices become applicable</w:t>
            </w:r>
          </w:p>
        </w:tc>
        <w:tc>
          <w:tcPr>
            <w:tcW w:type="dxa" w:w="4536"/>
            <w:tcMar>
              <w:top w:w="80" w:type="dxa"/>
              <w:start w:w="100" w:type="dxa"/>
              <w:bottom w:w="80" w:type="dxa"/>
              <w:end w:w="100" w:type="dxa"/>
            </w:tcMar>
            <w:vAlign w:val="center"/>
            <w:shd w:fill="FFFFFF"/>
          </w:tcPr>
          <w:p>
            <w:pPr>
              <w:spacing w:after="0"/>
            </w:pPr>
            <w:r/>
            <w:r>
              <w:rPr>
                <w:rFonts w:ascii="Aptos" w:hAnsi="Aptos"/>
                <w:b w:val="0"/>
                <w:color w:val="222222"/>
                <w:sz w:val="16"/>
              </w:rPr>
              <w:t>Current Duckworks obligations / screening</w:t>
            </w:r>
          </w:p>
        </w:tc>
      </w:tr>
      <w:tr>
        <w:tc>
          <w:tcPr>
            <w:tcW w:type="dxa" w:w="1512"/>
            <w:tcMar>
              <w:top w:w="80" w:type="dxa"/>
              <w:start w:w="100" w:type="dxa"/>
              <w:bottom w:w="80" w:type="dxa"/>
              <w:end w:w="100" w:type="dxa"/>
            </w:tcMar>
            <w:vAlign w:val="center"/>
            <w:shd w:fill="F5F7F9"/>
          </w:tcPr>
          <w:p>
            <w:pPr>
              <w:spacing w:after="0"/>
            </w:pPr>
            <w:r/>
            <w:r>
              <w:rPr>
                <w:rFonts w:ascii="Aptos" w:hAnsi="Aptos"/>
                <w:b w:val="0"/>
                <w:color w:val="222222"/>
                <w:sz w:val="16"/>
              </w:rPr>
              <w:t>2026-08-02</w:t>
            </w:r>
          </w:p>
        </w:tc>
        <w:tc>
          <w:tcPr>
            <w:tcW w:type="dxa" w:w="1440"/>
            <w:tcMar>
              <w:top w:w="80" w:type="dxa"/>
              <w:start w:w="100" w:type="dxa"/>
              <w:bottom w:w="80" w:type="dxa"/>
              <w:end w:w="100" w:type="dxa"/>
            </w:tcMar>
            <w:vAlign w:val="center"/>
            <w:shd w:fill="F5F7F9"/>
          </w:tcPr>
          <w:p>
            <w:pPr>
              <w:spacing w:after="0"/>
            </w:pPr>
            <w:r/>
            <w:r>
              <w:rPr>
                <w:rFonts w:ascii="Aptos" w:hAnsi="Aptos"/>
                <w:b w:val="0"/>
                <w:color w:val="222222"/>
                <w:sz w:val="16"/>
              </w:rPr>
              <w:t>AI Act</w:t>
            </w:r>
          </w:p>
        </w:tc>
        <w:tc>
          <w:tcPr>
            <w:tcW w:type="dxa" w:w="3240"/>
            <w:tcMar>
              <w:top w:w="80" w:type="dxa"/>
              <w:start w:w="100" w:type="dxa"/>
              <w:bottom w:w="80" w:type="dxa"/>
              <w:end w:w="100" w:type="dxa"/>
            </w:tcMar>
            <w:vAlign w:val="center"/>
            <w:shd w:fill="F5F7F9"/>
          </w:tcPr>
          <w:p>
            <w:pPr>
              <w:spacing w:after="0"/>
            </w:pPr>
            <w:r/>
            <w:r>
              <w:rPr>
                <w:rFonts w:ascii="Aptos" w:hAnsi="Aptos"/>
                <w:b w:val="0"/>
                <w:color w:val="222222"/>
                <w:sz w:val="16"/>
              </w:rPr>
              <w:t>General application milestone; Article 50 transparency obligations apply</w:t>
            </w:r>
          </w:p>
        </w:tc>
        <w:tc>
          <w:tcPr>
            <w:tcW w:type="dxa" w:w="4536"/>
            <w:tcMar>
              <w:top w:w="80" w:type="dxa"/>
              <w:start w:w="100" w:type="dxa"/>
              <w:bottom w:w="80" w:type="dxa"/>
              <w:end w:w="100" w:type="dxa"/>
            </w:tcMar>
            <w:vAlign w:val="center"/>
            <w:shd w:fill="F5F7F9"/>
          </w:tcPr>
          <w:p>
            <w:pPr>
              <w:spacing w:after="0"/>
            </w:pPr>
            <w:r/>
            <w:r>
              <w:rPr>
                <w:rFonts w:ascii="Aptos" w:hAnsi="Aptos"/>
                <w:b w:val="0"/>
                <w:color w:val="222222"/>
                <w:sz w:val="16"/>
              </w:rPr>
              <w:t>QuackBot disclosure and other transparency analysis now operational</w:t>
            </w:r>
          </w:p>
        </w:tc>
      </w:tr>
      <w:tr>
        <w:tc>
          <w:tcPr>
            <w:tcW w:type="dxa" w:w="1512"/>
            <w:tcMar>
              <w:top w:w="80" w:type="dxa"/>
              <w:start w:w="100" w:type="dxa"/>
              <w:bottom w:w="80" w:type="dxa"/>
              <w:end w:w="100" w:type="dxa"/>
            </w:tcMar>
            <w:vAlign w:val="center"/>
            <w:shd w:fill="FFFFFF"/>
          </w:tcPr>
          <w:p>
            <w:pPr>
              <w:spacing w:after="0"/>
            </w:pPr>
            <w:r/>
            <w:r>
              <w:rPr>
                <w:rFonts w:ascii="Aptos" w:hAnsi="Aptos"/>
                <w:b w:val="0"/>
                <w:color w:val="222222"/>
                <w:sz w:val="16"/>
              </w:rPr>
              <w:t>2026-09-11</w:t>
            </w:r>
          </w:p>
        </w:tc>
        <w:tc>
          <w:tcPr>
            <w:tcW w:type="dxa" w:w="1440"/>
            <w:tcMar>
              <w:top w:w="80" w:type="dxa"/>
              <w:start w:w="100" w:type="dxa"/>
              <w:bottom w:w="80" w:type="dxa"/>
              <w:end w:w="100" w:type="dxa"/>
            </w:tcMar>
            <w:vAlign w:val="center"/>
            <w:shd w:fill="FFFFFF"/>
          </w:tcPr>
          <w:p>
            <w:pPr>
              <w:spacing w:after="0"/>
            </w:pPr>
            <w:r/>
            <w:r>
              <w:rPr>
                <w:rFonts w:ascii="Aptos" w:hAnsi="Aptos"/>
                <w:b w:val="0"/>
                <w:color w:val="222222"/>
                <w:sz w:val="16"/>
              </w:rPr>
              <w:t>CRA</w:t>
            </w:r>
          </w:p>
        </w:tc>
        <w:tc>
          <w:tcPr>
            <w:tcW w:type="dxa" w:w="3240"/>
            <w:tcMar>
              <w:top w:w="80" w:type="dxa"/>
              <w:start w:w="100" w:type="dxa"/>
              <w:bottom w:w="80" w:type="dxa"/>
              <w:end w:w="100" w:type="dxa"/>
            </w:tcMar>
            <w:vAlign w:val="center"/>
            <w:shd w:fill="FFFFFF"/>
          </w:tcPr>
          <w:p>
            <w:pPr>
              <w:spacing w:after="0"/>
            </w:pPr>
            <w:r/>
            <w:r>
              <w:rPr>
                <w:rFonts w:ascii="Aptos" w:hAnsi="Aptos"/>
                <w:b w:val="0"/>
                <w:color w:val="222222"/>
                <w:sz w:val="16"/>
              </w:rPr>
              <w:t>Article 14 reporting obligations apply</w:t>
            </w:r>
          </w:p>
        </w:tc>
        <w:tc>
          <w:tcPr>
            <w:tcW w:type="dxa" w:w="4536"/>
            <w:tcMar>
              <w:top w:w="80" w:type="dxa"/>
              <w:start w:w="100" w:type="dxa"/>
              <w:bottom w:w="80" w:type="dxa"/>
              <w:end w:w="100" w:type="dxa"/>
            </w:tcMar>
            <w:vAlign w:val="center"/>
            <w:shd w:fill="FFFFFF"/>
          </w:tcPr>
          <w:p>
            <w:pPr>
              <w:spacing w:after="0"/>
            </w:pPr>
            <w:r/>
            <w:r>
              <w:rPr>
                <w:rFonts w:ascii="Aptos" w:hAnsi="Aptos"/>
                <w:b w:val="0"/>
                <w:color w:val="222222"/>
                <w:sz w:val="16"/>
              </w:rPr>
              <w:t>Immediate product scoping/reporting readiness if Duckworks has in-scope products with digital elements</w:t>
            </w:r>
          </w:p>
        </w:tc>
      </w:tr>
      <w:tr>
        <w:tc>
          <w:tcPr>
            <w:tcW w:type="dxa" w:w="1512"/>
            <w:tcMar>
              <w:top w:w="80" w:type="dxa"/>
              <w:start w:w="100" w:type="dxa"/>
              <w:bottom w:w="80" w:type="dxa"/>
              <w:end w:w="100" w:type="dxa"/>
            </w:tcMar>
            <w:vAlign w:val="center"/>
            <w:shd w:fill="F5F7F9"/>
          </w:tcPr>
          <w:p>
            <w:pPr>
              <w:spacing w:after="0"/>
            </w:pPr>
            <w:r/>
            <w:r>
              <w:rPr>
                <w:rFonts w:ascii="Aptos" w:hAnsi="Aptos"/>
                <w:b w:val="0"/>
                <w:color w:val="222222"/>
                <w:sz w:val="16"/>
              </w:rPr>
              <w:t>2026-12-02</w:t>
            </w:r>
          </w:p>
        </w:tc>
        <w:tc>
          <w:tcPr>
            <w:tcW w:type="dxa" w:w="1440"/>
            <w:tcMar>
              <w:top w:w="80" w:type="dxa"/>
              <w:start w:w="100" w:type="dxa"/>
              <w:bottom w:w="80" w:type="dxa"/>
              <w:end w:w="100" w:type="dxa"/>
            </w:tcMar>
            <w:vAlign w:val="center"/>
            <w:shd w:fill="F5F7F9"/>
          </w:tcPr>
          <w:p>
            <w:pPr>
              <w:spacing w:after="0"/>
            </w:pPr>
            <w:r/>
            <w:r>
              <w:rPr>
                <w:rFonts w:ascii="Aptos" w:hAnsi="Aptos"/>
                <w:b w:val="0"/>
                <w:color w:val="222222"/>
                <w:sz w:val="16"/>
              </w:rPr>
              <w:t>AI Act</w:t>
            </w:r>
          </w:p>
        </w:tc>
        <w:tc>
          <w:tcPr>
            <w:tcW w:type="dxa" w:w="3240"/>
            <w:tcMar>
              <w:top w:w="80" w:type="dxa"/>
              <w:start w:w="100" w:type="dxa"/>
              <w:bottom w:w="80" w:type="dxa"/>
              <w:end w:w="100" w:type="dxa"/>
            </w:tcMar>
            <w:vAlign w:val="center"/>
            <w:shd w:fill="F5F7F9"/>
          </w:tcPr>
          <w:p>
            <w:pPr>
              <w:spacing w:after="0"/>
            </w:pPr>
            <w:r/>
            <w:r>
              <w:rPr>
                <w:rFonts w:ascii="Aptos" w:hAnsi="Aptos"/>
                <w:b w:val="0"/>
                <w:color w:val="222222"/>
                <w:sz w:val="16"/>
              </w:rPr>
              <w:t>Additional prohibition introduced by 2026 amendment applies</w:t>
            </w:r>
          </w:p>
        </w:tc>
        <w:tc>
          <w:tcPr>
            <w:tcW w:type="dxa" w:w="4536"/>
            <w:tcMar>
              <w:top w:w="80" w:type="dxa"/>
              <w:start w:w="100" w:type="dxa"/>
              <w:bottom w:w="80" w:type="dxa"/>
              <w:end w:w="100" w:type="dxa"/>
            </w:tcMar>
            <w:vAlign w:val="center"/>
            <w:shd w:fill="F5F7F9"/>
          </w:tcPr>
          <w:p>
            <w:pPr>
              <w:spacing w:after="0"/>
            </w:pPr>
            <w:r/>
            <w:r>
              <w:rPr>
                <w:rFonts w:ascii="Aptos" w:hAnsi="Aptos"/>
                <w:b w:val="0"/>
                <w:color w:val="222222"/>
                <w:sz w:val="16"/>
              </w:rPr>
              <w:t>Maintain prohibited-practice screening for new functionality</w:t>
            </w:r>
          </w:p>
        </w:tc>
      </w:tr>
      <w:tr>
        <w:tc>
          <w:tcPr>
            <w:tcW w:type="dxa" w:w="1512"/>
            <w:tcMar>
              <w:top w:w="80" w:type="dxa"/>
              <w:start w:w="100" w:type="dxa"/>
              <w:bottom w:w="80" w:type="dxa"/>
              <w:end w:w="100" w:type="dxa"/>
            </w:tcMar>
            <w:vAlign w:val="center"/>
            <w:shd w:fill="FFFFFF"/>
          </w:tcPr>
          <w:p>
            <w:pPr>
              <w:spacing w:after="0"/>
            </w:pPr>
            <w:r/>
            <w:r>
              <w:rPr>
                <w:rFonts w:ascii="Aptos" w:hAnsi="Aptos"/>
                <w:b w:val="0"/>
                <w:color w:val="222222"/>
                <w:sz w:val="16"/>
              </w:rPr>
              <w:t>2026-12-09</w:t>
            </w:r>
          </w:p>
        </w:tc>
        <w:tc>
          <w:tcPr>
            <w:tcW w:type="dxa" w:w="1440"/>
            <w:tcMar>
              <w:top w:w="80" w:type="dxa"/>
              <w:start w:w="100" w:type="dxa"/>
              <w:bottom w:w="80" w:type="dxa"/>
              <w:end w:w="100" w:type="dxa"/>
            </w:tcMar>
            <w:vAlign w:val="center"/>
            <w:shd w:fill="FFFFFF"/>
          </w:tcPr>
          <w:p>
            <w:pPr>
              <w:spacing w:after="0"/>
            </w:pPr>
            <w:r/>
            <w:r>
              <w:rPr>
                <w:rFonts w:ascii="Aptos" w:hAnsi="Aptos"/>
                <w:b w:val="0"/>
                <w:color w:val="222222"/>
                <w:sz w:val="16"/>
              </w:rPr>
              <w:t>Product Liability Directive</w:t>
            </w:r>
          </w:p>
        </w:tc>
        <w:tc>
          <w:tcPr>
            <w:tcW w:type="dxa" w:w="3240"/>
            <w:tcMar>
              <w:top w:w="80" w:type="dxa"/>
              <w:start w:w="100" w:type="dxa"/>
              <w:bottom w:w="80" w:type="dxa"/>
              <w:end w:w="100" w:type="dxa"/>
            </w:tcMar>
            <w:vAlign w:val="center"/>
            <w:shd w:fill="FFFFFF"/>
          </w:tcPr>
          <w:p>
            <w:pPr>
              <w:spacing w:after="0"/>
            </w:pPr>
            <w:r/>
            <w:r>
              <w:rPr>
                <w:rFonts w:ascii="Aptos" w:hAnsi="Aptos"/>
                <w:b w:val="0"/>
                <w:color w:val="222222"/>
                <w:sz w:val="16"/>
              </w:rPr>
              <w:t>Revised regime applies to products placed on market or put into service after this date, subject to national transposition</w:t>
            </w:r>
          </w:p>
        </w:tc>
        <w:tc>
          <w:tcPr>
            <w:tcW w:type="dxa" w:w="4536"/>
            <w:tcMar>
              <w:top w:w="80" w:type="dxa"/>
              <w:start w:w="100" w:type="dxa"/>
              <w:bottom w:w="80" w:type="dxa"/>
              <w:end w:w="100" w:type="dxa"/>
            </w:tcMar>
            <w:vAlign w:val="center"/>
            <w:shd w:fill="FFFFFF"/>
          </w:tcPr>
          <w:p>
            <w:pPr>
              <w:spacing w:after="0"/>
            </w:pPr>
            <w:r/>
            <w:r>
              <w:rPr>
                <w:rFonts w:ascii="Aptos" w:hAnsi="Aptos"/>
                <w:b w:val="0"/>
                <w:color w:val="222222"/>
                <w:sz w:val="16"/>
              </w:rPr>
              <w:t>Increase product/software/AI traceability and evidence</w:t>
            </w:r>
          </w:p>
        </w:tc>
      </w:tr>
      <w:tr>
        <w:tc>
          <w:tcPr>
            <w:tcW w:type="dxa" w:w="1512"/>
            <w:tcMar>
              <w:top w:w="80" w:type="dxa"/>
              <w:start w:w="100" w:type="dxa"/>
              <w:bottom w:w="80" w:type="dxa"/>
              <w:end w:w="100" w:type="dxa"/>
            </w:tcMar>
            <w:vAlign w:val="center"/>
            <w:shd w:fill="F5F7F9"/>
          </w:tcPr>
          <w:p>
            <w:pPr>
              <w:spacing w:after="0"/>
            </w:pPr>
            <w:r/>
            <w:r>
              <w:rPr>
                <w:rFonts w:ascii="Aptos" w:hAnsi="Aptos"/>
                <w:b w:val="0"/>
                <w:color w:val="222222"/>
                <w:sz w:val="16"/>
              </w:rPr>
              <w:t>2027-01-20</w:t>
            </w:r>
          </w:p>
        </w:tc>
        <w:tc>
          <w:tcPr>
            <w:tcW w:type="dxa" w:w="1440"/>
            <w:tcMar>
              <w:top w:w="80" w:type="dxa"/>
              <w:start w:w="100" w:type="dxa"/>
              <w:bottom w:w="80" w:type="dxa"/>
              <w:end w:w="100" w:type="dxa"/>
            </w:tcMar>
            <w:vAlign w:val="center"/>
            <w:shd w:fill="F5F7F9"/>
          </w:tcPr>
          <w:p>
            <w:pPr>
              <w:spacing w:after="0"/>
            </w:pPr>
            <w:r/>
            <w:r>
              <w:rPr>
                <w:rFonts w:ascii="Aptos" w:hAnsi="Aptos"/>
                <w:b w:val="0"/>
                <w:color w:val="222222"/>
                <w:sz w:val="16"/>
              </w:rPr>
              <w:t>Machinery Regulation</w:t>
            </w:r>
          </w:p>
        </w:tc>
        <w:tc>
          <w:tcPr>
            <w:tcW w:type="dxa" w:w="3240"/>
            <w:tcMar>
              <w:top w:w="80" w:type="dxa"/>
              <w:start w:w="100" w:type="dxa"/>
              <w:bottom w:w="80" w:type="dxa"/>
              <w:end w:w="100" w:type="dxa"/>
            </w:tcMar>
            <w:vAlign w:val="center"/>
            <w:shd w:fill="F5F7F9"/>
          </w:tcPr>
          <w:p>
            <w:pPr>
              <w:spacing w:after="0"/>
            </w:pPr>
            <w:r/>
            <w:r>
              <w:rPr>
                <w:rFonts w:ascii="Aptos" w:hAnsi="Aptos"/>
                <w:b w:val="0"/>
                <w:color w:val="222222"/>
                <w:sz w:val="16"/>
              </w:rPr>
              <w:t>Regulation (EU) 2023/1230 generally applies</w:t>
            </w:r>
          </w:p>
        </w:tc>
        <w:tc>
          <w:tcPr>
            <w:tcW w:type="dxa" w:w="4536"/>
            <w:tcMar>
              <w:top w:w="80" w:type="dxa"/>
              <w:start w:w="100" w:type="dxa"/>
              <w:bottom w:w="80" w:type="dxa"/>
              <w:end w:w="100" w:type="dxa"/>
            </w:tcMar>
            <w:vAlign w:val="center"/>
            <w:shd w:fill="F5F7F9"/>
          </w:tcPr>
          <w:p>
            <w:pPr>
              <w:spacing w:after="0"/>
            </w:pPr>
            <w:r/>
            <w:r>
              <w:rPr>
                <w:rFonts w:ascii="Aptos" w:hAnsi="Aptos"/>
                <w:b w:val="0"/>
                <w:color w:val="222222"/>
                <w:sz w:val="16"/>
              </w:rPr>
              <w:t>Transition Duckworks machinery conformity processes</w:t>
            </w:r>
          </w:p>
        </w:tc>
      </w:tr>
      <w:tr>
        <w:tc>
          <w:tcPr>
            <w:tcW w:type="dxa" w:w="1512"/>
            <w:tcMar>
              <w:top w:w="80" w:type="dxa"/>
              <w:start w:w="100" w:type="dxa"/>
              <w:bottom w:w="80" w:type="dxa"/>
              <w:end w:w="100" w:type="dxa"/>
            </w:tcMar>
            <w:vAlign w:val="center"/>
            <w:shd w:fill="FFFFFF"/>
          </w:tcPr>
          <w:p>
            <w:pPr>
              <w:spacing w:after="0"/>
            </w:pPr>
            <w:r/>
            <w:r>
              <w:rPr>
                <w:rFonts w:ascii="Aptos" w:hAnsi="Aptos"/>
                <w:b w:val="0"/>
                <w:color w:val="222222"/>
                <w:sz w:val="16"/>
              </w:rPr>
              <w:t>2027-12-02</w:t>
            </w:r>
          </w:p>
        </w:tc>
        <w:tc>
          <w:tcPr>
            <w:tcW w:type="dxa" w:w="1440"/>
            <w:tcMar>
              <w:top w:w="80" w:type="dxa"/>
              <w:start w:w="100" w:type="dxa"/>
              <w:bottom w:w="80" w:type="dxa"/>
              <w:end w:w="100" w:type="dxa"/>
            </w:tcMar>
            <w:vAlign w:val="center"/>
            <w:shd w:fill="FFFFFF"/>
          </w:tcPr>
          <w:p>
            <w:pPr>
              <w:spacing w:after="0"/>
            </w:pPr>
            <w:r/>
            <w:r>
              <w:rPr>
                <w:rFonts w:ascii="Aptos" w:hAnsi="Aptos"/>
                <w:b w:val="0"/>
                <w:color w:val="222222"/>
                <w:sz w:val="16"/>
              </w:rPr>
              <w:t>AI Act</w:t>
            </w:r>
          </w:p>
        </w:tc>
        <w:tc>
          <w:tcPr>
            <w:tcW w:type="dxa" w:w="3240"/>
            <w:tcMar>
              <w:top w:w="80" w:type="dxa"/>
              <w:start w:w="100" w:type="dxa"/>
              <w:bottom w:w="80" w:type="dxa"/>
              <w:end w:w="100" w:type="dxa"/>
            </w:tcMar>
            <w:vAlign w:val="center"/>
            <w:shd w:fill="FFFFFF"/>
          </w:tcPr>
          <w:p>
            <w:pPr>
              <w:spacing w:after="0"/>
            </w:pPr>
            <w:r/>
            <w:r>
              <w:rPr>
                <w:rFonts w:ascii="Aptos" w:hAnsi="Aptos"/>
                <w:b w:val="0"/>
                <w:color w:val="222222"/>
                <w:sz w:val="16"/>
              </w:rPr>
              <w:t>High-risk rules for Annex III systems apply</w:t>
            </w:r>
          </w:p>
        </w:tc>
        <w:tc>
          <w:tcPr>
            <w:tcW w:type="dxa" w:w="4536"/>
            <w:tcMar>
              <w:top w:w="80" w:type="dxa"/>
              <w:start w:w="100" w:type="dxa"/>
              <w:bottom w:w="80" w:type="dxa"/>
              <w:end w:w="100" w:type="dxa"/>
            </w:tcMar>
            <w:vAlign w:val="center"/>
            <w:shd w:fill="FFFFFF"/>
          </w:tcPr>
          <w:p>
            <w:pPr>
              <w:spacing w:after="0"/>
            </w:pPr>
            <w:r/>
            <w:r>
              <w:rPr>
                <w:rFonts w:ascii="Aptos" w:hAnsi="Aptos"/>
                <w:b w:val="0"/>
                <w:color w:val="222222"/>
                <w:sz w:val="16"/>
              </w:rPr>
              <w:t>DuckTalent target compliance date</w:t>
            </w:r>
          </w:p>
        </w:tc>
      </w:tr>
      <w:tr>
        <w:tc>
          <w:tcPr>
            <w:tcW w:type="dxa" w:w="1512"/>
            <w:tcMar>
              <w:top w:w="80" w:type="dxa"/>
              <w:start w:w="100" w:type="dxa"/>
              <w:bottom w:w="80" w:type="dxa"/>
              <w:end w:w="100" w:type="dxa"/>
            </w:tcMar>
            <w:vAlign w:val="center"/>
            <w:shd w:fill="F5F7F9"/>
          </w:tcPr>
          <w:p>
            <w:pPr>
              <w:spacing w:after="0"/>
            </w:pPr>
            <w:r/>
            <w:r>
              <w:rPr>
                <w:rFonts w:ascii="Aptos" w:hAnsi="Aptos"/>
                <w:b w:val="0"/>
                <w:color w:val="222222"/>
                <w:sz w:val="16"/>
              </w:rPr>
              <w:t>2027-12-11</w:t>
            </w:r>
          </w:p>
        </w:tc>
        <w:tc>
          <w:tcPr>
            <w:tcW w:type="dxa" w:w="1440"/>
            <w:tcMar>
              <w:top w:w="80" w:type="dxa"/>
              <w:start w:w="100" w:type="dxa"/>
              <w:bottom w:w="80" w:type="dxa"/>
              <w:end w:w="100" w:type="dxa"/>
            </w:tcMar>
            <w:vAlign w:val="center"/>
            <w:shd w:fill="F5F7F9"/>
          </w:tcPr>
          <w:p>
            <w:pPr>
              <w:spacing w:after="0"/>
            </w:pPr>
            <w:r/>
            <w:r>
              <w:rPr>
                <w:rFonts w:ascii="Aptos" w:hAnsi="Aptos"/>
                <w:b w:val="0"/>
                <w:color w:val="222222"/>
                <w:sz w:val="16"/>
              </w:rPr>
              <w:t>CRA</w:t>
            </w:r>
          </w:p>
        </w:tc>
        <w:tc>
          <w:tcPr>
            <w:tcW w:type="dxa" w:w="3240"/>
            <w:tcMar>
              <w:top w:w="80" w:type="dxa"/>
              <w:start w:w="100" w:type="dxa"/>
              <w:bottom w:w="80" w:type="dxa"/>
              <w:end w:w="100" w:type="dxa"/>
            </w:tcMar>
            <w:vAlign w:val="center"/>
            <w:shd w:fill="F5F7F9"/>
          </w:tcPr>
          <w:p>
            <w:pPr>
              <w:spacing w:after="0"/>
            </w:pPr>
            <w:r/>
            <w:r>
              <w:rPr>
                <w:rFonts w:ascii="Aptos" w:hAnsi="Aptos"/>
                <w:b w:val="0"/>
                <w:color w:val="222222"/>
                <w:sz w:val="16"/>
              </w:rPr>
              <w:t>Main CRA obligations apply</w:t>
            </w:r>
          </w:p>
        </w:tc>
        <w:tc>
          <w:tcPr>
            <w:tcW w:type="dxa" w:w="4536"/>
            <w:tcMar>
              <w:top w:w="80" w:type="dxa"/>
              <w:start w:w="100" w:type="dxa"/>
              <w:bottom w:w="80" w:type="dxa"/>
              <w:end w:w="100" w:type="dxa"/>
            </w:tcMar>
            <w:vAlign w:val="center"/>
            <w:shd w:fill="F5F7F9"/>
          </w:tcPr>
          <w:p>
            <w:pPr>
              <w:spacing w:after="0"/>
            </w:pPr>
            <w:r/>
            <w:r>
              <w:rPr>
                <w:rFonts w:ascii="Aptos" w:hAnsi="Aptos"/>
                <w:b w:val="0"/>
                <w:color w:val="222222"/>
                <w:sz w:val="16"/>
              </w:rPr>
              <w:t>In-scope connected products must meet lifecycle cybersecurity and conformity requirements</w:t>
            </w:r>
          </w:p>
        </w:tc>
      </w:tr>
      <w:tr>
        <w:tc>
          <w:tcPr>
            <w:tcW w:type="dxa" w:w="1512"/>
            <w:tcMar>
              <w:top w:w="80" w:type="dxa"/>
              <w:start w:w="100" w:type="dxa"/>
              <w:bottom w:w="80" w:type="dxa"/>
              <w:end w:w="100" w:type="dxa"/>
            </w:tcMar>
            <w:vAlign w:val="center"/>
            <w:shd w:fill="FFFFFF"/>
          </w:tcPr>
          <w:p>
            <w:pPr>
              <w:spacing w:after="0"/>
            </w:pPr>
            <w:r/>
            <w:r>
              <w:rPr>
                <w:rFonts w:ascii="Aptos" w:hAnsi="Aptos"/>
                <w:b w:val="0"/>
                <w:color w:val="222222"/>
                <w:sz w:val="16"/>
              </w:rPr>
              <w:t>2028-08-02</w:t>
            </w:r>
          </w:p>
        </w:tc>
        <w:tc>
          <w:tcPr>
            <w:tcW w:type="dxa" w:w="1440"/>
            <w:tcMar>
              <w:top w:w="80" w:type="dxa"/>
              <w:start w:w="100" w:type="dxa"/>
              <w:bottom w:w="80" w:type="dxa"/>
              <w:end w:w="100" w:type="dxa"/>
            </w:tcMar>
            <w:vAlign w:val="center"/>
            <w:shd w:fill="FFFFFF"/>
          </w:tcPr>
          <w:p>
            <w:pPr>
              <w:spacing w:after="0"/>
            </w:pPr>
            <w:r/>
            <w:r>
              <w:rPr>
                <w:rFonts w:ascii="Aptos" w:hAnsi="Aptos"/>
                <w:b w:val="0"/>
                <w:color w:val="222222"/>
                <w:sz w:val="16"/>
              </w:rPr>
              <w:t>AI Act</w:t>
            </w:r>
          </w:p>
        </w:tc>
        <w:tc>
          <w:tcPr>
            <w:tcW w:type="dxa" w:w="3240"/>
            <w:tcMar>
              <w:top w:w="80" w:type="dxa"/>
              <w:start w:w="100" w:type="dxa"/>
              <w:bottom w:w="80" w:type="dxa"/>
              <w:end w:w="100" w:type="dxa"/>
            </w:tcMar>
            <w:vAlign w:val="center"/>
            <w:shd w:fill="FFFFFF"/>
          </w:tcPr>
          <w:p>
            <w:pPr>
              <w:spacing w:after="0"/>
            </w:pPr>
            <w:r/>
            <w:r>
              <w:rPr>
                <w:rFonts w:ascii="Aptos" w:hAnsi="Aptos"/>
                <w:b w:val="0"/>
                <w:color w:val="222222"/>
                <w:sz w:val="16"/>
              </w:rPr>
              <w:t>High-risk rules for Article 6(1) product-route systems apply</w:t>
            </w:r>
          </w:p>
        </w:tc>
        <w:tc>
          <w:tcPr>
            <w:tcW w:type="dxa" w:w="4536"/>
            <w:tcMar>
              <w:top w:w="80" w:type="dxa"/>
              <w:start w:w="100" w:type="dxa"/>
              <w:bottom w:w="80" w:type="dxa"/>
              <w:end w:w="100" w:type="dxa"/>
            </w:tcMar>
            <w:vAlign w:val="center"/>
            <w:shd w:fill="FFFFFF"/>
          </w:tcPr>
          <w:p>
            <w:pPr>
              <w:spacing w:after="0"/>
            </w:pPr>
            <w:r/>
            <w:r>
              <w:rPr>
                <w:rFonts w:ascii="Aptos" w:hAnsi="Aptos"/>
                <w:b w:val="0"/>
                <w:color w:val="222222"/>
                <w:sz w:val="16"/>
              </w:rPr>
              <w:t>Potential product-integrated safety AI target date</w:t>
            </w:r>
          </w:p>
        </w:tc>
      </w:tr>
    </w:tbl>
    <w:p>
      <w:pPr>
        <w:pStyle w:val="Heading1"/>
        <w:keepNext/>
      </w:pPr>
      <w:r>
        <w:t>9. Portfolio Conclusions and Interview-Defensible Position</w:t>
      </w:r>
    </w:p>
    <w:p>
      <w:pPr>
        <w:pStyle w:val="ListBullet"/>
      </w:pPr>
      <w:r>
        <w:t>DuckTalent is the clearest legal-design priority. It should be treated as preliminary Annex III high-risk, while keeping Duckworks internal Critical risk separate from the statutory classification.</w:t>
      </w:r>
    </w:p>
    <w:p>
      <w:pPr>
        <w:pStyle w:val="ListBullet"/>
      </w:pPr>
      <w:r>
        <w:t>QuackBot has an immediate transparency obligation analysis under Article 50. An explicit customer-facing AI disclosure is the safest current implementation.</w:t>
      </w:r>
    </w:p>
    <w:p>
      <w:pPr>
        <w:pStyle w:val="ListBullet"/>
      </w:pPr>
      <w:r>
        <w:t>AI literacy is an operating obligation now, not a future roadmap item. The programme can be risk- and role-based and does not require a specific certificate or governance board.</w:t>
      </w:r>
    </w:p>
    <w:p>
      <w:pPr>
        <w:pStyle w:val="ListBullet"/>
      </w:pPr>
      <w:r>
        <w:t>WingInspect and DuckDesign require product/safety architecture validation. Safety impact alone does not automatically make them high-risk under the AI Act; Article 6(1) has a specific product/safety-component and conformity-assessment test.</w:t>
      </w:r>
    </w:p>
    <w:p>
      <w:pPr>
        <w:pStyle w:val="ListBullet"/>
      </w:pPr>
      <w:r>
        <w:t>NIS2 is more than a remote possibility for a 1,200-person machinery manufacturer. The exact result depends on NACE classification and Member-State implementing law.</w:t>
      </w:r>
    </w:p>
    <w:p>
      <w:pPr>
        <w:pStyle w:val="ListBullet"/>
      </w:pPr>
      <w:r>
        <w:t>The CRA is a near-term priority because reporting obligations start 11 September 2026 for in-scope products with digital elements, before the main 2027 regime.</w:t>
      </w:r>
    </w:p>
    <w:p>
      <w:pPr>
        <w:pStyle w:val="ListBullet"/>
      </w:pPr>
      <w:r>
        <w:t>GDPR and equality law apply independently of the AI Act. A human decision at the end of DuckTalent does not eliminate privacy, discrimination or meaningful-human-review concerns.</w:t>
      </w:r>
    </w:p>
    <w:p>
      <w:pPr>
        <w:pStyle w:val="ListBullet"/>
      </w:pPr>
      <w:r>
        <w:t>ISO/IEC 42001, ISO/IEC 23894, ISO/IEC 42005, ISO/IEC 27001 and NIST AI RMF provide a strong voluntary governance/control architecture, but they should never be presented as proof of EU legal compliance or certification.</w:t>
      </w:r>
    </w:p>
    <w:p>
      <w:pPr>
        <w:pStyle w:val="ListBullet"/>
      </w:pPr>
      <w:r>
        <w:t>The project design principle remains sound: legal requirements establish the minimum floor, official guidance supports interpretation, voluntary standards/frameworks structure governance, and Duckworks risk methodology determines proportionate internal controls above that floor.</w:t>
      </w:r>
    </w:p>
    <w:p>
      <w:pPr>
        <w:pStyle w:val="Heading1"/>
        <w:keepNext/>
      </w:pPr>
      <w:r>
        <w:t>Appendix A - Source Register</w:t>
      </w:r>
    </w:p>
    <w:p>
      <w:r>
        <w:t>All web sources below were verified against official or recognized publisher pages during the research cycle ending 10 August 2026. ISO entries use public descriptions only; detailed clause-level claims require authorized access to the standards.</w:t>
      </w:r>
    </w:p>
    <w:p>
      <w:pPr>
        <w:spacing w:after="60"/>
      </w:pPr>
      <w:r>
        <w:rPr>
          <w:b/>
          <w:color w:val="17324D"/>
        </w:rPr>
        <w:t>S01 - EU Artificial Intelligence Act - Regulation (EU) 2024/1689, consolidated 27 July 2026</w:t>
      </w:r>
      <w:r>
        <w:br/>
        <w:t>Type: Binding EU regulation</w:t>
        <w:br/>
        <w:t xml:space="preserve">URL: </w:t>
      </w:r>
      <w:hyperlink r:id="rId10">
        <w:r>
          <w:rPr>
            <w:color w:val="0563C1"/>
            <w:u w:val="single"/>
          </w:rPr>
          <w:t>https://eur-lex.europa.eu/eli/reg/2024/1689/2026-07-27/eng</w:t>
        </w:r>
      </w:hyperlink>
    </w:p>
    <w:p>
      <w:pPr>
        <w:spacing w:after="60"/>
      </w:pPr>
      <w:r>
        <w:rPr>
          <w:b/>
          <w:color w:val="17324D"/>
        </w:rPr>
        <w:t>S02 - Regulation (EU) 2026/1744 - Digital Omnibus on AI</w:t>
      </w:r>
      <w:r>
        <w:br/>
        <w:t>Type: Binding amending EU regulation</w:t>
        <w:br/>
        <w:t xml:space="preserve">URL: </w:t>
      </w:r>
      <w:hyperlink r:id="rId11">
        <w:r>
          <w:rPr>
            <w:color w:val="0563C1"/>
            <w:u w:val="single"/>
          </w:rPr>
          <w:t>https://eur-lex.europa.eu/eli/reg/2026/1744/oj/eng</w:t>
        </w:r>
      </w:hyperlink>
    </w:p>
    <w:p>
      <w:pPr>
        <w:spacing w:after="60"/>
      </w:pPr>
      <w:r>
        <w:rPr>
          <w:b/>
          <w:color w:val="17324D"/>
        </w:rPr>
        <w:t>S03 - European Commission - AI Act regulatory framework / implementation timeline</w:t>
      </w:r>
      <w:r>
        <w:br/>
        <w:t>Type: Official Commission information</w:t>
        <w:br/>
        <w:t xml:space="preserve">URL: </w:t>
      </w:r>
      <w:hyperlink r:id="rId12">
        <w:r>
          <w:rPr>
            <w:color w:val="0563C1"/>
            <w:u w:val="single"/>
          </w:rPr>
          <w:t>https://digital-strategy.ec.europa.eu/en/policies/regulatory-framework-ai</w:t>
        </w:r>
      </w:hyperlink>
    </w:p>
    <w:p>
      <w:pPr>
        <w:spacing w:after="60"/>
      </w:pPr>
      <w:r>
        <w:rPr>
          <w:b/>
          <w:color w:val="17324D"/>
        </w:rPr>
        <w:t>S04 - European Commission - AI Literacy: Questions &amp; Answers</w:t>
      </w:r>
      <w:r>
        <w:br/>
        <w:t>Type: Official Commission interpretive guidance</w:t>
        <w:br/>
        <w:t xml:space="preserve">URL: </w:t>
      </w:r>
      <w:hyperlink r:id="rId13">
        <w:r>
          <w:rPr>
            <w:color w:val="0563C1"/>
            <w:u w:val="single"/>
          </w:rPr>
          <w:t>https://digital-strategy.ec.europa.eu/en/faqs/ai-literacy-questions-answers</w:t>
        </w:r>
      </w:hyperlink>
    </w:p>
    <w:p>
      <w:pPr>
        <w:spacing w:after="60"/>
      </w:pPr>
      <w:r>
        <w:rPr>
          <w:b/>
          <w:color w:val="17324D"/>
        </w:rPr>
        <w:t>S05 - European Commission - Guidelines on transparency obligations under Article 50</w:t>
      </w:r>
      <w:r>
        <w:br/>
        <w:t>Type: Official Commission guidance</w:t>
        <w:br/>
        <w:t xml:space="preserve">URL: </w:t>
      </w:r>
      <w:hyperlink r:id="rId14">
        <w:r>
          <w:rPr>
            <w:color w:val="0563C1"/>
            <w:u w:val="single"/>
          </w:rPr>
          <w:t>https://digital-strategy.ec.europa.eu/en/library/guidelines-transparency-obligations-providers-and-deployers-ai-systems</w:t>
        </w:r>
      </w:hyperlink>
    </w:p>
    <w:p>
      <w:pPr>
        <w:spacing w:after="60"/>
      </w:pPr>
      <w:r>
        <w:rPr>
          <w:b/>
          <w:color w:val="17324D"/>
        </w:rPr>
        <w:t>S06 - European Commission - Code of Practice on Transparency of AI-generated Content</w:t>
      </w:r>
      <w:r>
        <w:br/>
        <w:t>Type: Voluntary compliance tool endorsed by Commission/AI Board</w:t>
        <w:br/>
        <w:t xml:space="preserve">URL: </w:t>
      </w:r>
      <w:hyperlink r:id="rId15">
        <w:r>
          <w:rPr>
            <w:color w:val="0563C1"/>
            <w:u w:val="single"/>
          </w:rPr>
          <w:t>https://digital-strategy.ec.europa.eu/en/policies/code-practice-ai-generated-content</w:t>
        </w:r>
      </w:hyperlink>
    </w:p>
    <w:p>
      <w:pPr>
        <w:spacing w:after="60"/>
      </w:pPr>
      <w:r>
        <w:rPr>
          <w:b/>
          <w:color w:val="17324D"/>
        </w:rPr>
        <w:t>S07 - European Commission - Draft guidelines on classification of high-risk AI systems</w:t>
      </w:r>
      <w:r>
        <w:br/>
        <w:t>Type: Draft, non-binding Commission guidance</w:t>
        <w:br/>
        <w:t xml:space="preserve">URL: </w:t>
      </w:r>
      <w:hyperlink r:id="rId16">
        <w:r>
          <w:rPr>
            <w:color w:val="0563C1"/>
            <w:u w:val="single"/>
          </w:rPr>
          <w:t>https://digital-strategy.ec.europa.eu/en/library/draft-commission-guidelines-classification-high-risk-ai-systems</w:t>
        </w:r>
      </w:hyperlink>
    </w:p>
    <w:p>
      <w:pPr>
        <w:spacing w:after="60"/>
      </w:pPr>
      <w:r>
        <w:rPr>
          <w:b/>
          <w:color w:val="17324D"/>
        </w:rPr>
        <w:t>S08 - European Commission - Guidelines on prohibited AI practices</w:t>
      </w:r>
      <w:r>
        <w:br/>
        <w:t>Type: Non-binding Commission guidance</w:t>
        <w:br/>
        <w:t xml:space="preserve">URL: </w:t>
      </w:r>
      <w:hyperlink r:id="rId17">
        <w:r>
          <w:rPr>
            <w:color w:val="0563C1"/>
            <w:u w:val="single"/>
          </w:rPr>
          <w:t>https://digital-strategy.ec.europa.eu/en/library/commission-publishes-guidelines-prohibited-artificial-intelligence-ai-practices-defined-ai-act</w:t>
        </w:r>
      </w:hyperlink>
    </w:p>
    <w:p>
      <w:pPr>
        <w:spacing w:after="60"/>
      </w:pPr>
      <w:r>
        <w:rPr>
          <w:b/>
          <w:color w:val="17324D"/>
        </w:rPr>
        <w:t>S09 - European Commission - Guidelines on AI system definition</w:t>
      </w:r>
      <w:r>
        <w:br/>
        <w:t>Type: Non-binding Commission guidance</w:t>
        <w:br/>
        <w:t xml:space="preserve">URL: </w:t>
      </w:r>
      <w:hyperlink r:id="rId18">
        <w:r>
          <w:rPr>
            <w:color w:val="0563C1"/>
            <w:u w:val="single"/>
          </w:rPr>
          <w:t>https://digital-strategy.ec.europa.eu/en/library/commission-publishes-guidelines-ai-system-definition-facilitate-first-ai-acts-rules-application</w:t>
        </w:r>
      </w:hyperlink>
    </w:p>
    <w:p>
      <w:pPr>
        <w:spacing w:after="60"/>
      </w:pPr>
      <w:r>
        <w:rPr>
          <w:b/>
          <w:color w:val="17324D"/>
        </w:rPr>
        <w:t>S10 - General Data Protection Regulation - Regulation (EU) 2016/679</w:t>
      </w:r>
      <w:r>
        <w:br/>
        <w:t>Type: Binding EU regulation</w:t>
        <w:br/>
        <w:t xml:space="preserve">URL: </w:t>
      </w:r>
      <w:hyperlink r:id="rId19">
        <w:r>
          <w:rPr>
            <w:color w:val="0563C1"/>
            <w:u w:val="single"/>
          </w:rPr>
          <w:t>https://eur-lex.europa.eu/eli/reg/2016/679/oj/eng</w:t>
        </w:r>
      </w:hyperlink>
    </w:p>
    <w:p>
      <w:pPr>
        <w:spacing w:after="60"/>
      </w:pPr>
      <w:r>
        <w:rPr>
          <w:b/>
          <w:color w:val="17324D"/>
        </w:rPr>
        <w:t>S11 - EDPB - Guidelines on Automated Individual Decision-Making and Profiling</w:t>
      </w:r>
      <w:r>
        <w:br/>
        <w:t>Type: Regulatory guidance endorsed by EDPB</w:t>
        <w:br/>
        <w:t xml:space="preserve">URL: </w:t>
      </w:r>
      <w:hyperlink r:id="rId20">
        <w:r>
          <w:rPr>
            <w:color w:val="0563C1"/>
            <w:u w:val="single"/>
          </w:rPr>
          <w:t>https://www.edpb.europa.eu/documents/guideline/automated-decision-making-and-profiling_en</w:t>
        </w:r>
      </w:hyperlink>
    </w:p>
    <w:p>
      <w:pPr>
        <w:spacing w:after="60"/>
      </w:pPr>
      <w:r>
        <w:rPr>
          <w:b/>
          <w:color w:val="17324D"/>
        </w:rPr>
        <w:t>S12 - EDPB - Endorsed WP29 Guidelines, including DPIA Guidelines WP248 rev.01</w:t>
      </w:r>
      <w:r>
        <w:br/>
        <w:t>Type: Regulatory guidance</w:t>
        <w:br/>
        <w:t xml:space="preserve">URL: </w:t>
      </w:r>
      <w:hyperlink r:id="rId21">
        <w:r>
          <w:rPr>
            <w:color w:val="0563C1"/>
            <w:u w:val="single"/>
          </w:rPr>
          <w:t>https://www.edpb.europa.eu/endorsed-wp29-guidelines_en</w:t>
        </w:r>
      </w:hyperlink>
    </w:p>
    <w:p>
      <w:pPr>
        <w:spacing w:after="60"/>
      </w:pPr>
      <w:r>
        <w:rPr>
          <w:b/>
          <w:color w:val="17324D"/>
        </w:rPr>
        <w:t>S13 - EDPB Opinion 28/2024 on data protection aspects related to AI models</w:t>
      </w:r>
      <w:r>
        <w:br/>
        <w:t>Type: Regulatory opinion</w:t>
        <w:br/>
        <w:t xml:space="preserve">URL: </w:t>
      </w:r>
      <w:hyperlink r:id="rId22">
        <w:r>
          <w:rPr>
            <w:color w:val="0563C1"/>
            <w:u w:val="single"/>
          </w:rPr>
          <w:t>https://www.edpb.europa.eu/documents/opinion-of-the-board-art-64/opinion-282024-on-certain-data-protection-aspects-related-to_en</w:t>
        </w:r>
      </w:hyperlink>
    </w:p>
    <w:p>
      <w:pPr>
        <w:spacing w:after="60"/>
      </w:pPr>
      <w:r>
        <w:rPr>
          <w:b/>
          <w:color w:val="17324D"/>
        </w:rPr>
        <w:t>S14 - Council Directive 2000/43/EC - racial or ethnic equality</w:t>
      </w:r>
      <w:r>
        <w:br/>
        <w:t>Type: EU directive; national implementation required</w:t>
        <w:br/>
        <w:t xml:space="preserve">URL: </w:t>
      </w:r>
      <w:hyperlink r:id="rId23">
        <w:r>
          <w:rPr>
            <w:color w:val="0563C1"/>
            <w:u w:val="single"/>
          </w:rPr>
          <w:t>https://eur-lex.europa.eu/eli/dir/2000/43/oj/eng</w:t>
        </w:r>
      </w:hyperlink>
    </w:p>
    <w:p>
      <w:pPr>
        <w:spacing w:after="60"/>
      </w:pPr>
      <w:r>
        <w:rPr>
          <w:b/>
          <w:color w:val="17324D"/>
        </w:rPr>
        <w:t>S15 - Council Directive 2000/78/EC - equal treatment in employment and occupation</w:t>
      </w:r>
      <w:r>
        <w:br/>
        <w:t>Type: EU directive; national implementation required</w:t>
        <w:br/>
        <w:t xml:space="preserve">URL: </w:t>
      </w:r>
      <w:hyperlink r:id="rId24">
        <w:r>
          <w:rPr>
            <w:color w:val="0563C1"/>
            <w:u w:val="single"/>
          </w:rPr>
          <w:t>https://eur-lex.europa.eu/eli/dir/2000/78/oj/eng</w:t>
        </w:r>
      </w:hyperlink>
    </w:p>
    <w:p>
      <w:pPr>
        <w:spacing w:after="60"/>
      </w:pPr>
      <w:r>
        <w:rPr>
          <w:b/>
          <w:color w:val="17324D"/>
        </w:rPr>
        <w:t>S16 - Directive 2006/54/EC - equal opportunities and equal treatment of men and women in employment</w:t>
      </w:r>
      <w:r>
        <w:br/>
        <w:t>Type: EU directive; national implementation required</w:t>
        <w:br/>
        <w:t xml:space="preserve">URL: </w:t>
      </w:r>
      <w:hyperlink r:id="rId25">
        <w:r>
          <w:rPr>
            <w:color w:val="0563C1"/>
            <w:u w:val="single"/>
          </w:rPr>
          <w:t>https://eur-lex.europa.eu/eli/dir/2006/54/oj/eng</w:t>
        </w:r>
      </w:hyperlink>
    </w:p>
    <w:p>
      <w:pPr>
        <w:spacing w:after="60"/>
      </w:pPr>
      <w:r>
        <w:rPr>
          <w:b/>
          <w:color w:val="17324D"/>
        </w:rPr>
        <w:t>S17 - NIS2 Directive - Directive (EU) 2022/2555</w:t>
      </w:r>
      <w:r>
        <w:br/>
        <w:t>Type: EU directive; national implementation required</w:t>
        <w:br/>
        <w:t xml:space="preserve">URL: </w:t>
      </w:r>
      <w:hyperlink r:id="rId26">
        <w:r>
          <w:rPr>
            <w:color w:val="0563C1"/>
            <w:u w:val="single"/>
          </w:rPr>
          <w:t>https://eur-lex.europa.eu/legal-content/EN/TXT/HTML/?uri=CELEX:02022L2555-20221227</w:t>
        </w:r>
      </w:hyperlink>
    </w:p>
    <w:p>
      <w:pPr>
        <w:spacing w:after="60"/>
      </w:pPr>
      <w:r>
        <w:rPr>
          <w:b/>
          <w:color w:val="17324D"/>
        </w:rPr>
        <w:t>S18 - European Commission - NIS2 Directive policy page</w:t>
      </w:r>
      <w:r>
        <w:br/>
        <w:t>Type: Official Commission information</w:t>
        <w:br/>
        <w:t xml:space="preserve">URL: </w:t>
      </w:r>
      <w:hyperlink r:id="rId27">
        <w:r>
          <w:rPr>
            <w:color w:val="0563C1"/>
            <w:u w:val="single"/>
          </w:rPr>
          <w:t>https://digital-strategy.ec.europa.eu/en/policies/nis2-directive</w:t>
        </w:r>
      </w:hyperlink>
    </w:p>
    <w:p>
      <w:pPr>
        <w:spacing w:after="60"/>
      </w:pPr>
      <w:r>
        <w:rPr>
          <w:b/>
          <w:color w:val="17324D"/>
        </w:rPr>
        <w:t>S19 - Cyber Resilience Act - Regulation (EU) 2024/2847</w:t>
      </w:r>
      <w:r>
        <w:br/>
        <w:t>Type: Binding EU regulation</w:t>
        <w:br/>
        <w:t xml:space="preserve">URL: </w:t>
      </w:r>
      <w:hyperlink r:id="rId28">
        <w:r>
          <w:rPr>
            <w:color w:val="0563C1"/>
            <w:u w:val="single"/>
          </w:rPr>
          <w:t>https://eur-lex.europa.eu/eli/reg/2024/2847/oj/eng</w:t>
        </w:r>
      </w:hyperlink>
    </w:p>
    <w:p>
      <w:pPr>
        <w:spacing w:after="60"/>
      </w:pPr>
      <w:r>
        <w:rPr>
          <w:b/>
          <w:color w:val="17324D"/>
        </w:rPr>
        <w:t>S20 - European Commission - 27 July 2026 CRA implementation guidance</w:t>
      </w:r>
      <w:r>
        <w:br/>
        <w:t>Type: Official, non-binding Commission guidance</w:t>
        <w:br/>
        <w:t xml:space="preserve">URL: </w:t>
      </w:r>
      <w:hyperlink r:id="rId29">
        <w:r>
          <w:rPr>
            <w:color w:val="0563C1"/>
            <w:u w:val="single"/>
          </w:rPr>
          <w:t>https://digital-strategy.ec.europa.eu/en/library/commission-publishes-new-guidance-support-timely-cyber-resilience-act-implementation</w:t>
        </w:r>
      </w:hyperlink>
    </w:p>
    <w:p>
      <w:pPr>
        <w:spacing w:after="60"/>
      </w:pPr>
      <w:r>
        <w:rPr>
          <w:b/>
          <w:color w:val="17324D"/>
        </w:rPr>
        <w:t>S21 - Machinery Directive 2006/42/EC</w:t>
      </w:r>
      <w:r>
        <w:br/>
        <w:t>Type: EU directive applicable until Machinery Regulation transition</w:t>
        <w:br/>
        <w:t xml:space="preserve">URL: </w:t>
      </w:r>
      <w:hyperlink r:id="rId30">
        <w:r>
          <w:rPr>
            <w:color w:val="0563C1"/>
            <w:u w:val="single"/>
          </w:rPr>
          <w:t>https://eur-lex.europa.eu/eli/dir/2006/42/oj/eng</w:t>
        </w:r>
      </w:hyperlink>
    </w:p>
    <w:p>
      <w:pPr>
        <w:spacing w:after="60"/>
      </w:pPr>
      <w:r>
        <w:rPr>
          <w:b/>
          <w:color w:val="17324D"/>
        </w:rPr>
        <w:t>S22 - Machinery Regulation - Regulation (EU) 2023/1230</w:t>
      </w:r>
      <w:r>
        <w:br/>
        <w:t>Type: Binding EU regulation; generally applies from 20 January 2027</w:t>
        <w:br/>
        <w:t xml:space="preserve">URL: </w:t>
      </w:r>
      <w:hyperlink r:id="rId31">
        <w:r>
          <w:rPr>
            <w:color w:val="0563C1"/>
            <w:u w:val="single"/>
          </w:rPr>
          <w:t>https://eur-lex.europa.eu/eli/reg/2023/1230/oj/eng</w:t>
        </w:r>
      </w:hyperlink>
    </w:p>
    <w:p>
      <w:pPr>
        <w:spacing w:after="60"/>
      </w:pPr>
      <w:r>
        <w:rPr>
          <w:b/>
          <w:color w:val="17324D"/>
        </w:rPr>
        <w:t>S23 - EUR-Lex - Machinery safety requirements summary</w:t>
      </w:r>
      <w:r>
        <w:br/>
        <w:t>Type: Official EU summary</w:t>
        <w:br/>
        <w:t xml:space="preserve">URL: </w:t>
      </w:r>
      <w:hyperlink r:id="rId32">
        <w:r>
          <w:rPr>
            <w:color w:val="0563C1"/>
            <w:u w:val="single"/>
          </w:rPr>
          <w:t>https://eur-lex.europa.eu/EN/legal-content/summary/machinery-safety-requirements.html</w:t>
        </w:r>
      </w:hyperlink>
    </w:p>
    <w:p>
      <w:pPr>
        <w:spacing w:after="60"/>
      </w:pPr>
      <w:r>
        <w:rPr>
          <w:b/>
          <w:color w:val="17324D"/>
        </w:rPr>
        <w:t>S24 - General Product Safety Regulation - Regulation (EU) 2023/988</w:t>
      </w:r>
      <w:r>
        <w:br/>
        <w:t>Type: Binding EU regulation</w:t>
        <w:br/>
        <w:t xml:space="preserve">URL: </w:t>
      </w:r>
      <w:hyperlink r:id="rId33">
        <w:r>
          <w:rPr>
            <w:color w:val="0563C1"/>
            <w:u w:val="single"/>
          </w:rPr>
          <w:t>https://eur-lex.europa.eu/eli/reg/2023/988/oj/eng</w:t>
        </w:r>
      </w:hyperlink>
    </w:p>
    <w:p>
      <w:pPr>
        <w:spacing w:after="60"/>
      </w:pPr>
      <w:r>
        <w:rPr>
          <w:b/>
          <w:color w:val="17324D"/>
        </w:rPr>
        <w:t>S25 - Product Liability Directive - Directive (EU) 2024/2853</w:t>
      </w:r>
      <w:r>
        <w:br/>
        <w:t>Type: EU directive; national implementation required</w:t>
        <w:br/>
        <w:t xml:space="preserve">URL: </w:t>
      </w:r>
      <w:hyperlink r:id="rId34">
        <w:r>
          <w:rPr>
            <w:color w:val="0563C1"/>
            <w:u w:val="single"/>
          </w:rPr>
          <w:t>https://eur-lex.europa.eu/eli/dir/2024/2853/oj/eng</w:t>
        </w:r>
      </w:hyperlink>
    </w:p>
    <w:p>
      <w:pPr>
        <w:spacing w:after="60"/>
      </w:pPr>
      <w:r>
        <w:rPr>
          <w:b/>
          <w:color w:val="17324D"/>
        </w:rPr>
        <w:t>S26 - NIST AI Risk Management Framework (AI RMF 1.0)</w:t>
      </w:r>
      <w:r>
        <w:br/>
        <w:t>Type: Voluntary framework</w:t>
        <w:br/>
        <w:t xml:space="preserve">URL: </w:t>
      </w:r>
      <w:hyperlink r:id="rId35">
        <w:r>
          <w:rPr>
            <w:color w:val="0563C1"/>
            <w:u w:val="single"/>
          </w:rPr>
          <w:t>https://www.nist.gov/publications/artificial-intelligence-risk-management-framework-ai-rmf-10</w:t>
        </w:r>
      </w:hyperlink>
    </w:p>
    <w:p>
      <w:pPr>
        <w:spacing w:after="60"/>
      </w:pPr>
      <w:r>
        <w:rPr>
          <w:b/>
          <w:color w:val="17324D"/>
        </w:rPr>
        <w:t>S27 - NIST AI RMF Playbook</w:t>
      </w:r>
      <w:r>
        <w:br/>
        <w:t>Type: Voluntary implementation guidance</w:t>
        <w:br/>
        <w:t xml:space="preserve">URL: </w:t>
      </w:r>
      <w:hyperlink r:id="rId36">
        <w:r>
          <w:rPr>
            <w:color w:val="0563C1"/>
            <w:u w:val="single"/>
          </w:rPr>
          <w:t>https://airc.nist.gov/airmf-resources/playbook/</w:t>
        </w:r>
      </w:hyperlink>
    </w:p>
    <w:p>
      <w:pPr>
        <w:spacing w:after="60"/>
      </w:pPr>
      <w:r>
        <w:rPr>
          <w:b/>
          <w:color w:val="17324D"/>
        </w:rPr>
        <w:t>S28 - NIST AI 600-1 - Generative AI Profile</w:t>
      </w:r>
      <w:r>
        <w:br/>
        <w:t>Type: Voluntary NIST profile</w:t>
        <w:br/>
        <w:t xml:space="preserve">URL: </w:t>
      </w:r>
      <w:hyperlink r:id="rId37">
        <w:r>
          <w:rPr>
            <w:color w:val="0563C1"/>
            <w:u w:val="single"/>
          </w:rPr>
          <w:t>https://www.nist.gov/publications/artificial-intelligence-risk-management-framework-generative-artificial-intelligence</w:t>
        </w:r>
      </w:hyperlink>
    </w:p>
    <w:p>
      <w:pPr>
        <w:spacing w:after="60"/>
      </w:pPr>
      <w:r>
        <w:rPr>
          <w:b/>
          <w:color w:val="17324D"/>
        </w:rPr>
        <w:t>S29 - NIST SP 800-218A - Secure Software Development Practices for Generative AI and Dual-Use Foundation Models</w:t>
      </w:r>
      <w:r>
        <w:br/>
        <w:t>Type: Voluntary NIST secure development guidance</w:t>
        <w:br/>
        <w:t xml:space="preserve">URL: </w:t>
      </w:r>
      <w:hyperlink r:id="rId38">
        <w:r>
          <w:rPr>
            <w:color w:val="0563C1"/>
            <w:u w:val="single"/>
          </w:rPr>
          <w:t>https://csrc.nist.gov/pubs/sp/800/218/a/final</w:t>
        </w:r>
      </w:hyperlink>
    </w:p>
    <w:p>
      <w:pPr>
        <w:spacing w:after="60"/>
      </w:pPr>
      <w:r>
        <w:rPr>
          <w:b/>
          <w:color w:val="17324D"/>
        </w:rPr>
        <w:t>S30 - ISO/IEC 42001:2023 - Artificial intelligence management system</w:t>
      </w:r>
      <w:r>
        <w:br/>
        <w:t>Type: International management system standard</w:t>
        <w:br/>
        <w:t xml:space="preserve">URL: </w:t>
      </w:r>
      <w:hyperlink r:id="rId39">
        <w:r>
          <w:rPr>
            <w:color w:val="0563C1"/>
            <w:u w:val="single"/>
          </w:rPr>
          <w:t>https://www.iso.org/standard/42001</w:t>
        </w:r>
      </w:hyperlink>
    </w:p>
    <w:p>
      <w:pPr>
        <w:spacing w:after="60"/>
      </w:pPr>
      <w:r>
        <w:rPr>
          <w:b/>
          <w:color w:val="17324D"/>
        </w:rPr>
        <w:t>S31 - ISO/IEC 23894:2023 - Guidance on AI risk management</w:t>
      </w:r>
      <w:r>
        <w:br/>
        <w:t>Type: International guidance standard</w:t>
        <w:br/>
        <w:t xml:space="preserve">URL: </w:t>
      </w:r>
      <w:hyperlink r:id="rId40">
        <w:r>
          <w:rPr>
            <w:color w:val="0563C1"/>
            <w:u w:val="single"/>
          </w:rPr>
          <w:t>https://www.iso.org/standard/77304.html</w:t>
        </w:r>
      </w:hyperlink>
    </w:p>
    <w:p>
      <w:pPr>
        <w:spacing w:after="60"/>
      </w:pPr>
      <w:r>
        <w:rPr>
          <w:b/>
          <w:color w:val="17324D"/>
        </w:rPr>
        <w:t>S32 - ISO/IEC 42005:2025 - AI system impact assessment</w:t>
      </w:r>
      <w:r>
        <w:br/>
        <w:t>Type: International guidance standard</w:t>
        <w:br/>
        <w:t xml:space="preserve">URL: </w:t>
      </w:r>
      <w:hyperlink r:id="rId41">
        <w:r>
          <w:rPr>
            <w:color w:val="0563C1"/>
            <w:u w:val="single"/>
          </w:rPr>
          <w:t>https://www.iso.org/standard/42005</w:t>
        </w:r>
      </w:hyperlink>
    </w:p>
    <w:p>
      <w:pPr>
        <w:spacing w:after="60"/>
      </w:pPr>
      <w:r>
        <w:rPr>
          <w:b/>
          <w:color w:val="17324D"/>
        </w:rPr>
        <w:t>S33 - ISO/IEC 27001:2022 - Information security management systems</w:t>
      </w:r>
      <w:r>
        <w:br/>
        <w:t>Type: International management system standard</w:t>
        <w:br/>
        <w:t xml:space="preserve">URL: </w:t>
      </w:r>
      <w:hyperlink r:id="rId42">
        <w:r>
          <w:rPr>
            <w:color w:val="0563C1"/>
            <w:u w:val="single"/>
          </w:rPr>
          <w:t>https://www.iso.org/standard/27001</w:t>
        </w:r>
      </w:hyperlink>
    </w:p>
    <w:p>
      <w:pPr>
        <w:spacing w:after="60"/>
      </w:pPr>
      <w:r>
        <w:rPr>
          <w:b/>
          <w:color w:val="17324D"/>
        </w:rPr>
        <w:t>S34 - ISO/IEC 27005:2022 - Information security risk management</w:t>
      </w:r>
      <w:r>
        <w:br/>
        <w:t>Type: International guidance standard</w:t>
        <w:br/>
        <w:t xml:space="preserve">URL: </w:t>
      </w:r>
      <w:hyperlink r:id="rId43">
        <w:r>
          <w:rPr>
            <w:color w:val="0563C1"/>
            <w:u w:val="single"/>
          </w:rPr>
          <w:t>https://www.iso.org/standard/80585.html</w:t>
        </w:r>
      </w:hyperlink>
    </w:p>
    <w:p>
      <w:pPr>
        <w:spacing w:after="60"/>
      </w:pPr>
      <w:r>
        <w:rPr>
          <w:b/>
          <w:color w:val="17324D"/>
        </w:rPr>
        <w:t>S35 - ISO 31000:2018 - Risk management guidelines</w:t>
      </w:r>
      <w:r>
        <w:br/>
        <w:t>Type: International guidance standard</w:t>
        <w:br/>
        <w:t xml:space="preserve">URL: </w:t>
      </w:r>
      <w:hyperlink r:id="rId44">
        <w:r>
          <w:rPr>
            <w:color w:val="0563C1"/>
            <w:u w:val="single"/>
          </w:rPr>
          <w:t>https://www.iso.org/standard/65694.html</w:t>
        </w:r>
      </w:hyperlink>
    </w:p>
    <w:p>
      <w:pPr>
        <w:spacing w:after="60"/>
      </w:pPr>
      <w:r>
        <w:rPr>
          <w:b/>
          <w:color w:val="17324D"/>
        </w:rPr>
        <w:t>S36 - ENISA - Multilayer Framework for Good Cybersecurity Practices for AI</w:t>
      </w:r>
      <w:r>
        <w:br/>
        <w:t>Type: Official EU cybersecurity good-practice guidance</w:t>
        <w:br/>
        <w:t xml:space="preserve">URL: </w:t>
      </w:r>
      <w:hyperlink r:id="rId45">
        <w:r>
          <w:rPr>
            <w:color w:val="0563C1"/>
            <w:u w:val="single"/>
          </w:rPr>
          <w:t>https://www.enisa.europa.eu/publications/multilayer-framework-for-good-cybersecurity-practices-for-ai</w:t>
        </w:r>
      </w:hyperlink>
    </w:p>
    <w:p>
      <w:pPr>
        <w:spacing w:after="60"/>
      </w:pPr>
      <w:r>
        <w:rPr>
          <w:b/>
          <w:color w:val="17324D"/>
        </w:rPr>
        <w:t>S37 - ENISA - Cybersecurity of AI and Standardisation</w:t>
      </w:r>
      <w:r>
        <w:br/>
        <w:t>Type: Official EU cybersecurity/standardisation guidance</w:t>
        <w:br/>
        <w:t xml:space="preserve">URL: </w:t>
      </w:r>
      <w:hyperlink r:id="rId46">
        <w:r>
          <w:rPr>
            <w:color w:val="0563C1"/>
            <w:u w:val="single"/>
          </w:rPr>
          <w:t>https://www.enisa.europa.eu/publications/cybersecurity-of-ai-and-standardisation</w:t>
        </w:r>
      </w:hyperlink>
    </w:p>
    <w:p>
      <w:pPr>
        <w:spacing w:after="60"/>
      </w:pPr>
      <w:r>
        <w:rPr>
          <w:b/>
          <w:color w:val="17324D"/>
        </w:rPr>
        <w:t>S38 - OECD AI Principles</w:t>
      </w:r>
      <w:r>
        <w:br/>
        <w:t>Type: Intergovernmental responsible-AI principles</w:t>
        <w:br/>
        <w:t xml:space="preserve">URL: </w:t>
      </w:r>
      <w:hyperlink r:id="rId47">
        <w:r>
          <w:rPr>
            <w:color w:val="0563C1"/>
            <w:u w:val="single"/>
          </w:rPr>
          <w:t>https://oecd.ai/en/ai-principles</w:t>
        </w:r>
      </w:hyperlink>
    </w:p>
    <w:p>
      <w:pPr>
        <w:spacing w:after="60"/>
      </w:pPr>
      <w:r>
        <w:rPr>
          <w:b/>
          <w:color w:val="17324D"/>
        </w:rPr>
        <w:t>S39 - MITRE ATLAS</w:t>
      </w:r>
      <w:r>
        <w:br/>
        <w:t>Type: Recognized AI adversarial threat knowledge base</w:t>
        <w:br/>
        <w:t xml:space="preserve">URL: </w:t>
      </w:r>
      <w:hyperlink r:id="rId48">
        <w:r>
          <w:rPr>
            <w:color w:val="0563C1"/>
            <w:u w:val="single"/>
          </w:rPr>
          <w:t>https://atlas.mitre.org/</w:t>
        </w:r>
      </w:hyperlink>
    </w:p>
    <w:p>
      <w:pPr>
        <w:spacing w:after="60"/>
      </w:pPr>
      <w:r>
        <w:rPr>
          <w:b/>
          <w:color w:val="17324D"/>
        </w:rPr>
        <w:t>S40 - OWASP GenAI Security Project / LLM Top 10</w:t>
      </w:r>
      <w:r>
        <w:br/>
        <w:t>Type: Community security guidance</w:t>
        <w:br/>
        <w:t xml:space="preserve">URL: </w:t>
      </w:r>
      <w:hyperlink r:id="rId49">
        <w:r>
          <w:rPr>
            <w:color w:val="0563C1"/>
            <w:u w:val="single"/>
          </w:rPr>
          <w:t>https://genai.owasp.org/</w:t>
        </w:r>
      </w:hyperlink>
    </w:p>
    <w:p>
      <w:pPr>
        <w:pStyle w:val="Heading1"/>
        <w:keepNext/>
      </w:pPr>
      <w:r>
        <w:t>Appendix B - Research Maintenance Rules</w:t>
      </w:r>
    </w:p>
    <w:p>
      <w:pPr>
        <w:pStyle w:val="ListBullet"/>
      </w:pPr>
      <w:r>
        <w:t>Re-check the consolidated EU AI Act before making any statement about application dates, classifications or obligations.</w:t>
      </w:r>
    </w:p>
    <w:p>
      <w:pPr>
        <w:pStyle w:val="ListBullet"/>
      </w:pPr>
      <w:r>
        <w:t>Re-check the CRA implementation page before September 2026 reporting-readiness decisions and before the 2027 full-application date.</w:t>
      </w:r>
    </w:p>
    <w:p>
      <w:pPr>
        <w:pStyle w:val="ListBullet"/>
      </w:pPr>
      <w:r>
        <w:t>For EU directives (NIS2, equality directives, Product Liability Directive), map the actual Member-State implementing law before making a real-world compliance determination.</w:t>
      </w:r>
    </w:p>
    <w:p>
      <w:pPr>
        <w:pStyle w:val="ListBullet"/>
      </w:pPr>
      <w:r>
        <w:t>Record the research date and source version in each system impact/risk assessment.</w:t>
      </w:r>
    </w:p>
    <w:p>
      <w:pPr>
        <w:pStyle w:val="ListBullet"/>
      </w:pPr>
      <w:r>
        <w:t>Use current consolidated legislation for working analysis while retaining original and amending acts in the legal evidence trail.</w:t>
      </w:r>
    </w:p>
    <w:p>
      <w:pPr>
        <w:pStyle w:val="ListBullet"/>
      </w:pPr>
      <w:r>
        <w:t>Distinguish mandatory legal requirements, official non-binding guidance, voluntary standards/frameworks, internal Duckworks requirements and project assumptions in every control mapping.</w:t>
      </w:r>
    </w:p>
    <w:p>
      <w:pPr>
        <w:pStyle w:val="ListBullet"/>
      </w:pPr>
      <w:r>
        <w:t>Do not claim ISO/NIST/ENISA/OWASP/MITRE alignment proves legal compliance.</w:t>
      </w:r>
    </w:p>
    <w:p>
      <w:pPr>
        <w:pStyle w:val="ListBullet"/>
      </w:pPr>
      <w:r>
        <w:t>Do not treat Duckworks High/Critical risk ratings as equivalent to EU AI Act high-risk classification.</w:t>
      </w:r>
    </w:p>
    <w:p>
      <w:pPr>
        <w:pStyle w:val="ListBullet"/>
      </w:pPr>
      <w:r>
        <w:t>Validate material assumptions whenever intended purpose, affected persons, decision authority, model/vendor, data, safety function, geography or legal role changes.</w:t>
      </w:r>
    </w:p>
    <w:p>
      <w:pPr>
        <w:pStyle w:val="Heading1"/>
        <w:keepNext/>
      </w:pPr>
      <w:r>
        <w:t>Appendix C - Portfolio Disclaimer</w:t>
      </w:r>
    </w:p>
    <w:p>
      <w:r>
        <w:t>Duckworks, Project W.I.N.G., all personnel, AI systems, datasets, decisions, risks and evidence described in this report are fictional and created solely for educational and professional portfolio purposes. This document uses synthetic/project facts and public sources. It is not legal advice, a legal opinion, certification evidence, an independent audit report or a statement of regulatory conformity.</w:t>
      </w:r>
    </w:p>
    <w:sectPr w:rsidR="00FC693F" w:rsidRPr="0006063C" w:rsidSect="00034616">
      <w:footerReference w:type="default" r:id="rId9"/>
      <w:pgSz w:w="11909" w:h="16834"/>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D6770"/>
        <w:sz w:val="14"/>
      </w:rPr>
      <w:t xml:space="preserve">DUCKWORKS | PROJECT W.I.N.G. | AI Governance Research v1.0 | Fictional portfolio project | Page </w:t>
    </w: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Aptos" w:hAnsi="Aptos"/>
      <w:color w:val="222222"/>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ptos Display" w:hAnsi="Aptos Display"/>
      <w:b/>
      <w:bCs/>
      <w:color w:val="17324D"/>
      <w:sz w:val="34"/>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Display" w:hAnsi="Aptos Display"/>
      <w:b/>
      <w:bCs/>
      <w:color w:val="2A6F6B"/>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Display" w:hAnsi="Aptos Display"/>
      <w:b/>
      <w:bCs/>
      <w:color w:val="5D677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eur-lex.europa.eu/eli/reg/2024/1689/2026-07-27/eng" TargetMode="External"/><Relationship Id="rId11" Type="http://schemas.openxmlformats.org/officeDocument/2006/relationships/hyperlink" Target="https://eur-lex.europa.eu/eli/reg/2026/1744/oj/eng" TargetMode="External"/><Relationship Id="rId12" Type="http://schemas.openxmlformats.org/officeDocument/2006/relationships/hyperlink" Target="https://digital-strategy.ec.europa.eu/en/policies/regulatory-framework-ai" TargetMode="External"/><Relationship Id="rId13" Type="http://schemas.openxmlformats.org/officeDocument/2006/relationships/hyperlink" Target="https://digital-strategy.ec.europa.eu/en/faqs/ai-literacy-questions-answers" TargetMode="External"/><Relationship Id="rId14" Type="http://schemas.openxmlformats.org/officeDocument/2006/relationships/hyperlink" Target="https://digital-strategy.ec.europa.eu/en/library/guidelines-transparency-obligations-providers-and-deployers-ai-systems" TargetMode="External"/><Relationship Id="rId15" Type="http://schemas.openxmlformats.org/officeDocument/2006/relationships/hyperlink" Target="https://digital-strategy.ec.europa.eu/en/policies/code-practice-ai-generated-content" TargetMode="External"/><Relationship Id="rId16" Type="http://schemas.openxmlformats.org/officeDocument/2006/relationships/hyperlink" Target="https://digital-strategy.ec.europa.eu/en/library/draft-commission-guidelines-classification-high-risk-ai-systems" TargetMode="External"/><Relationship Id="rId17" Type="http://schemas.openxmlformats.org/officeDocument/2006/relationships/hyperlink" Target="https://digital-strategy.ec.europa.eu/en/library/commission-publishes-guidelines-prohibited-artificial-intelligence-ai-practices-defined-ai-act" TargetMode="External"/><Relationship Id="rId18" Type="http://schemas.openxmlformats.org/officeDocument/2006/relationships/hyperlink" Target="https://digital-strategy.ec.europa.eu/en/library/commission-publishes-guidelines-ai-system-definition-facilitate-first-ai-acts-rules-application" TargetMode="External"/><Relationship Id="rId19" Type="http://schemas.openxmlformats.org/officeDocument/2006/relationships/hyperlink" Target="https://eur-lex.europa.eu/eli/reg/2016/679/oj/eng" TargetMode="External"/><Relationship Id="rId20" Type="http://schemas.openxmlformats.org/officeDocument/2006/relationships/hyperlink" Target="https://www.edpb.europa.eu/documents/guideline/automated-decision-making-and-profiling_en" TargetMode="External"/><Relationship Id="rId21" Type="http://schemas.openxmlformats.org/officeDocument/2006/relationships/hyperlink" Target="https://www.edpb.europa.eu/endorsed-wp29-guidelines_en" TargetMode="External"/><Relationship Id="rId22" Type="http://schemas.openxmlformats.org/officeDocument/2006/relationships/hyperlink" Target="https://www.edpb.europa.eu/documents/opinion-of-the-board-art-64/opinion-282024-on-certain-data-protection-aspects-related-to_en" TargetMode="External"/><Relationship Id="rId23" Type="http://schemas.openxmlformats.org/officeDocument/2006/relationships/hyperlink" Target="https://eur-lex.europa.eu/eli/dir/2000/43/oj/eng" TargetMode="External"/><Relationship Id="rId24" Type="http://schemas.openxmlformats.org/officeDocument/2006/relationships/hyperlink" Target="https://eur-lex.europa.eu/eli/dir/2000/78/oj/eng" TargetMode="External"/><Relationship Id="rId25" Type="http://schemas.openxmlformats.org/officeDocument/2006/relationships/hyperlink" Target="https://eur-lex.europa.eu/eli/dir/2006/54/oj/eng" TargetMode="External"/><Relationship Id="rId26" Type="http://schemas.openxmlformats.org/officeDocument/2006/relationships/hyperlink" Target="https://eur-lex.europa.eu/legal-content/EN/TXT/HTML/?uri=CELEX:02022L2555-20221227" TargetMode="External"/><Relationship Id="rId27" Type="http://schemas.openxmlformats.org/officeDocument/2006/relationships/hyperlink" Target="https://digital-strategy.ec.europa.eu/en/policies/nis2-directive" TargetMode="External"/><Relationship Id="rId28" Type="http://schemas.openxmlformats.org/officeDocument/2006/relationships/hyperlink" Target="https://eur-lex.europa.eu/eli/reg/2024/2847/oj/eng" TargetMode="External"/><Relationship Id="rId29" Type="http://schemas.openxmlformats.org/officeDocument/2006/relationships/hyperlink" Target="https://digital-strategy.ec.europa.eu/en/library/commission-publishes-new-guidance-support-timely-cyber-resilience-act-implementation" TargetMode="External"/><Relationship Id="rId30" Type="http://schemas.openxmlformats.org/officeDocument/2006/relationships/hyperlink" Target="https://eur-lex.europa.eu/eli/dir/2006/42/oj/eng" TargetMode="External"/><Relationship Id="rId31" Type="http://schemas.openxmlformats.org/officeDocument/2006/relationships/hyperlink" Target="https://eur-lex.europa.eu/eli/reg/2023/1230/oj/eng" TargetMode="External"/><Relationship Id="rId32" Type="http://schemas.openxmlformats.org/officeDocument/2006/relationships/hyperlink" Target="https://eur-lex.europa.eu/EN/legal-content/summary/machinery-safety-requirements.html" TargetMode="External"/><Relationship Id="rId33" Type="http://schemas.openxmlformats.org/officeDocument/2006/relationships/hyperlink" Target="https://eur-lex.europa.eu/eli/reg/2023/988/oj/eng" TargetMode="External"/><Relationship Id="rId34" Type="http://schemas.openxmlformats.org/officeDocument/2006/relationships/hyperlink" Target="https://eur-lex.europa.eu/eli/dir/2024/2853/oj/eng" TargetMode="External"/><Relationship Id="rId35" Type="http://schemas.openxmlformats.org/officeDocument/2006/relationships/hyperlink" Target="https://www.nist.gov/publications/artificial-intelligence-risk-management-framework-ai-rmf-10" TargetMode="External"/><Relationship Id="rId36" Type="http://schemas.openxmlformats.org/officeDocument/2006/relationships/hyperlink" Target="https://airc.nist.gov/airmf-resources/playbook/" TargetMode="External"/><Relationship Id="rId37" Type="http://schemas.openxmlformats.org/officeDocument/2006/relationships/hyperlink" Target="https://www.nist.gov/publications/artificial-intelligence-risk-management-framework-generative-artificial-intelligence" TargetMode="External"/><Relationship Id="rId38" Type="http://schemas.openxmlformats.org/officeDocument/2006/relationships/hyperlink" Target="https://csrc.nist.gov/pubs/sp/800/218/a/final" TargetMode="External"/><Relationship Id="rId39" Type="http://schemas.openxmlformats.org/officeDocument/2006/relationships/hyperlink" Target="https://www.iso.org/standard/42001" TargetMode="External"/><Relationship Id="rId40" Type="http://schemas.openxmlformats.org/officeDocument/2006/relationships/hyperlink" Target="https://www.iso.org/standard/77304.html" TargetMode="External"/><Relationship Id="rId41" Type="http://schemas.openxmlformats.org/officeDocument/2006/relationships/hyperlink" Target="https://www.iso.org/standard/42005" TargetMode="External"/><Relationship Id="rId42" Type="http://schemas.openxmlformats.org/officeDocument/2006/relationships/hyperlink" Target="https://www.iso.org/standard/27001" TargetMode="External"/><Relationship Id="rId43" Type="http://schemas.openxmlformats.org/officeDocument/2006/relationships/hyperlink" Target="https://www.iso.org/standard/80585.html" TargetMode="External"/><Relationship Id="rId44" Type="http://schemas.openxmlformats.org/officeDocument/2006/relationships/hyperlink" Target="https://www.iso.org/standard/65694.html" TargetMode="External"/><Relationship Id="rId45" Type="http://schemas.openxmlformats.org/officeDocument/2006/relationships/hyperlink" Target="https://www.enisa.europa.eu/publications/multilayer-framework-for-good-cybersecurity-practices-for-ai" TargetMode="External"/><Relationship Id="rId46" Type="http://schemas.openxmlformats.org/officeDocument/2006/relationships/hyperlink" Target="https://www.enisa.europa.eu/publications/cybersecurity-of-ai-and-standardisation" TargetMode="External"/><Relationship Id="rId47" Type="http://schemas.openxmlformats.org/officeDocument/2006/relationships/hyperlink" Target="https://oecd.ai/en/ai-principles" TargetMode="External"/><Relationship Id="rId48" Type="http://schemas.openxmlformats.org/officeDocument/2006/relationships/hyperlink" Target="https://atlas.mitre.org/" TargetMode="External"/><Relationship Id="rId49" Type="http://schemas.openxmlformats.org/officeDocument/2006/relationships/hyperlink" Target="https://genai.owasp.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