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65D"/>
          <w:sz w:val="26"/>
        </w:rPr>
        <w:t>DUCKWORKS</w:t>
      </w:r>
    </w:p>
    <w:p/>
    <w:p>
      <w:pPr>
        <w:pStyle w:val="Title"/>
      </w:pPr>
      <w:r>
        <w:t>AI Risk Classification &amp; Assessment Methodology</w:t>
      </w:r>
    </w:p>
    <w:p>
      <w:r>
        <w:rPr>
          <w:color w:val="666666"/>
          <w:sz w:val="26"/>
        </w:rPr>
        <w:t>A practical governance and risk-assessment method for Duckworks AI systems</w:t>
      </w:r>
    </w:p>
    <w:p/>
    <w:tbl>
      <w:tblPr>
        <w:tblStyle w:val="TableGrid"/>
        <w:tblW w:type="auto" w:w="0"/>
        <w:jc w:val="left"/>
        <w:tblLook w:firstColumn="1" w:firstRow="1" w:lastColumn="0" w:lastRow="0" w:noHBand="0" w:noVBand="1" w:val="04A0"/>
      </w:tblPr>
      <w:tblGrid>
        <w:gridCol w:w="5112"/>
        <w:gridCol w:w="5112"/>
      </w:tblGrid>
      <w:tr>
        <w:tc>
          <w:tcPr>
            <w:tcW w:type="dxa" w:w="5112"/>
            <w:shd w:fill="D9EAF7"/>
            <w:tcMar>
              <w:top w:w="80" w:type="dxa"/>
              <w:start w:w="80" w:type="dxa"/>
              <w:bottom w:w="80" w:type="dxa"/>
              <w:end w:w="80" w:type="dxa"/>
            </w:tcMar>
          </w:tcPr>
          <w:p>
            <w:r>
              <w:rPr>
                <w:b/>
              </w:rPr>
              <w:t>Organization</w:t>
            </w:r>
          </w:p>
        </w:tc>
        <w:tc>
          <w:tcPr>
            <w:tcW w:type="dxa" w:w="5112"/>
            <w:tcMar>
              <w:top w:w="80" w:type="dxa"/>
              <w:start w:w="80" w:type="dxa"/>
              <w:bottom w:w="80" w:type="dxa"/>
              <w:end w:w="80" w:type="dxa"/>
            </w:tcMar>
          </w:tcPr>
          <w:p>
            <w:r>
              <w:t>Duckworks (fictional)</w:t>
            </w:r>
          </w:p>
        </w:tc>
      </w:tr>
      <w:tr>
        <w:tc>
          <w:tcPr>
            <w:tcW w:type="dxa" w:w="5112"/>
            <w:shd w:fill="D9EAF7"/>
            <w:tcMar>
              <w:top w:w="80" w:type="dxa"/>
              <w:start w:w="80" w:type="dxa"/>
              <w:bottom w:w="80" w:type="dxa"/>
              <w:end w:w="80" w:type="dxa"/>
            </w:tcMar>
          </w:tcPr>
          <w:p>
            <w:r>
              <w:rPr>
                <w:b/>
              </w:rPr>
              <w:t>Document status</w:t>
            </w:r>
          </w:p>
        </w:tc>
        <w:tc>
          <w:tcPr>
            <w:tcW w:type="dxa" w:w="5112"/>
            <w:tcMar>
              <w:top w:w="80" w:type="dxa"/>
              <w:start w:w="80" w:type="dxa"/>
              <w:bottom w:w="80" w:type="dxa"/>
              <w:end w:w="80" w:type="dxa"/>
            </w:tcMar>
          </w:tcPr>
          <w:p>
            <w:r>
              <w:t>Version 1.0</w:t>
            </w:r>
          </w:p>
        </w:tc>
      </w:tr>
      <w:tr>
        <w:tc>
          <w:tcPr>
            <w:tcW w:type="dxa" w:w="5112"/>
            <w:shd w:fill="D9EAF7"/>
            <w:tcMar>
              <w:top w:w="80" w:type="dxa"/>
              <w:start w:w="80" w:type="dxa"/>
              <w:bottom w:w="80" w:type="dxa"/>
              <w:end w:w="80" w:type="dxa"/>
            </w:tcMar>
          </w:tcPr>
          <w:p>
            <w:r>
              <w:rPr>
                <w:b/>
              </w:rPr>
              <w:t>Assessment date</w:t>
            </w:r>
          </w:p>
        </w:tc>
        <w:tc>
          <w:tcPr>
            <w:tcW w:type="dxa" w:w="5112"/>
            <w:tcMar>
              <w:top w:w="80" w:type="dxa"/>
              <w:start w:w="80" w:type="dxa"/>
              <w:bottom w:w="80" w:type="dxa"/>
              <w:end w:w="80" w:type="dxa"/>
            </w:tcMar>
          </w:tcPr>
          <w:p>
            <w:r>
              <w:t>9 August 2026</w:t>
            </w:r>
          </w:p>
        </w:tc>
      </w:tr>
      <w:tr>
        <w:tc>
          <w:tcPr>
            <w:tcW w:type="dxa" w:w="5112"/>
            <w:shd w:fill="D9EAF7"/>
            <w:tcMar>
              <w:top w:w="80" w:type="dxa"/>
              <w:start w:w="80" w:type="dxa"/>
              <w:bottom w:w="80" w:type="dxa"/>
              <w:end w:w="80" w:type="dxa"/>
            </w:tcMar>
          </w:tcPr>
          <w:p>
            <w:r>
              <w:rPr>
                <w:b/>
              </w:rPr>
              <w:t>Classification</w:t>
            </w:r>
          </w:p>
        </w:tc>
        <w:tc>
          <w:tcPr>
            <w:tcW w:type="dxa" w:w="5112"/>
            <w:tcMar>
              <w:top w:w="80" w:type="dxa"/>
              <w:start w:w="80" w:type="dxa"/>
              <w:bottom w:w="80" w:type="dxa"/>
              <w:end w:w="80" w:type="dxa"/>
            </w:tcMar>
          </w:tcPr>
          <w:p>
            <w:r>
              <w:t>Portfolio / Synthetic / Non-production</w:t>
            </w:r>
          </w:p>
        </w:tc>
      </w:tr>
    </w:tbl>
    <w:p/>
    <w:p>
      <w:r>
        <w:rPr>
          <w:b/>
        </w:rPr>
        <w:t xml:space="preserve">Purpose. </w:t>
      </w:r>
      <w:r>
        <w:t>This document demonstrates a risk-based AI governance approach for a fictional advanced-manufacturing company. It is not legal advice, certification evidence, or a statement of compliance.</w:t>
      </w:r>
    </w:p>
    <w:p>
      <w:r>
        <w:br w:type="page"/>
      </w:r>
    </w:p>
    <w:p>
      <w:pPr>
        <w:pStyle w:val="Heading1"/>
      </w:pPr>
      <w:r>
        <w:t>1. Purpose and scope</w:t>
      </w:r>
    </w:p>
    <w:p>
      <w:r>
        <w:t>This methodology establishes how Duckworks identifies, classifies, assesses, treats, approves and monitors risks arising from AI systems across their lifecycle. It applies to internally developed AI, third-party AI services, AI embedded in products or business processes, pilots, experiments, and discovered “shadow AI” use.</w:t>
      </w:r>
    </w:p>
    <w:tbl>
      <w:tblPr>
        <w:tblW w:type="auto" w:w="0"/>
        <w:jc w:val="center"/>
        <w:tblLook w:firstColumn="1" w:firstRow="1" w:lastColumn="0" w:lastRow="0" w:noHBand="0" w:noVBand="1" w:val="04A0"/>
      </w:tblPr>
      <w:tblGrid>
        <w:gridCol w:w="10224"/>
      </w:tblGrid>
      <w:tr>
        <w:tc>
          <w:tcPr>
            <w:tcW w:type="dxa" w:w="10224"/>
            <w:shd w:fill="EEF4F8"/>
            <w:tcMar>
              <w:top w:w="120" w:type="dxa"/>
              <w:start w:w="140" w:type="dxa"/>
              <w:bottom w:w="120" w:type="dxa"/>
              <w:end w:w="140" w:type="dxa"/>
            </w:tcMar>
          </w:tcPr>
          <w:p>
            <w:r>
              <w:rPr>
                <w:b/>
                <w:color w:val="17365D"/>
              </w:rPr>
              <w:t xml:space="preserve">Key design choice. </w:t>
            </w:r>
            <w:r>
              <w:t>Regulatory classification and Duckworks internal enterprise risk classification are separate. A system can be legally “high-risk” while also receiving a Duckworks High or Critical rating; conversely, a system can be internally High because of safety or confidentiality even when no EU AI Act high-risk category is identified.</w:t>
            </w:r>
          </w:p>
        </w:tc>
      </w:tr>
    </w:tbl>
    <w:p/>
    <w:p>
      <w:pPr>
        <w:pStyle w:val="Heading1"/>
      </w:pPr>
      <w:r>
        <w:t>2. Methodological basis</w:t>
      </w:r>
    </w:p>
    <w:p>
      <w:r>
        <w:t>The method is informed by the NIST AI Risk Management Framework (AI RMF), ISO/IEC 42001:2023, ISO/IEC 23894:2023, ISO/IEC 42005:2025, and the EU Artificial Intelligence Act as consolidated on 27 July 2026. It is a Duckworks portfolio methodology, not a reproduction of any standard and not a claim of conformity.</w:t>
      </w:r>
    </w:p>
    <w:p>
      <w:pPr>
        <w:pStyle w:val="ListBullet"/>
      </w:pPr>
      <w:r>
        <w:t>NIST AI RMF provides the overall Govern–Map–Measure–Manage orientation for AI risk management.</w:t>
      </w:r>
    </w:p>
    <w:p>
      <w:pPr>
        <w:pStyle w:val="ListBullet"/>
      </w:pPr>
      <w:r>
        <w:t>ISO/IEC 42001 informs management-system governance, accountability, lifecycle controls and continual improvement.</w:t>
      </w:r>
    </w:p>
    <w:p>
      <w:pPr>
        <w:pStyle w:val="ListBullet"/>
      </w:pPr>
      <w:r>
        <w:t>ISO/IEC 23894 informs AI-specific risk-management integration and treatment.</w:t>
      </w:r>
    </w:p>
    <w:p>
      <w:pPr>
        <w:pStyle w:val="ListBullet"/>
      </w:pPr>
      <w:r>
        <w:t>ISO/IEC 42005 informs impact-assessment thinking for effects on individuals and society.</w:t>
      </w:r>
    </w:p>
    <w:p>
      <w:pPr>
        <w:pStyle w:val="ListBullet"/>
      </w:pPr>
      <w:r>
        <w:t>The EU AI Act provides legal screening for prohibited practices, high-risk classifications and transparency obligations where applicable.</w:t>
      </w:r>
    </w:p>
    <w:p>
      <w:pPr>
        <w:pStyle w:val="Heading1"/>
      </w:pPr>
      <w:r>
        <w:t>3. Governance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7365D"/>
            <w:vAlign w:val="center"/>
            <w:tcMar>
              <w:top w:w="80" w:type="dxa"/>
              <w:start w:w="80" w:type="dxa"/>
              <w:bottom w:w="80" w:type="dxa"/>
              <w:end w:w="80" w:type="dxa"/>
            </w:tcMar>
          </w:tcPr>
          <w:p>
            <w:r>
              <w:rPr>
                <w:b/>
                <w:color w:val="FFFFFF"/>
                <w:sz w:val="17"/>
              </w:rPr>
              <w:t>Principle</w:t>
            </w:r>
          </w:p>
        </w:tc>
        <w:tc>
          <w:tcPr>
            <w:tcW w:type="dxa" w:w="8208"/>
            <w:shd w:fill="17365D"/>
            <w:vAlign w:val="center"/>
            <w:tcMar>
              <w:top w:w="80" w:type="dxa"/>
              <w:start w:w="80" w:type="dxa"/>
              <w:bottom w:w="80" w:type="dxa"/>
              <w:end w:w="80" w:type="dxa"/>
            </w:tcMar>
          </w:tcPr>
          <w:p>
            <w:r>
              <w:rPr>
                <w:b/>
                <w:color w:val="FFFFFF"/>
                <w:sz w:val="17"/>
              </w:rPr>
              <w:t>Duckworks rule</w:t>
            </w:r>
          </w:p>
        </w:tc>
      </w:tr>
      <w:tr>
        <w:tc>
          <w:tcPr>
            <w:tcW w:type="dxa" w:w="2448"/>
            <w:vAlign w:val="top"/>
            <w:tcMar>
              <w:top w:w="80" w:type="dxa"/>
              <w:start w:w="80" w:type="dxa"/>
              <w:bottom w:w="80" w:type="dxa"/>
              <w:end w:w="80" w:type="dxa"/>
            </w:tcMar>
          </w:tcPr>
          <w:p>
            <w:r>
              <w:rPr>
                <w:sz w:val="17"/>
              </w:rPr>
              <w:t>Intended purpose first</w:t>
            </w:r>
          </w:p>
        </w:tc>
        <w:tc>
          <w:tcPr>
            <w:tcW w:type="dxa" w:w="8208"/>
            <w:vAlign w:val="top"/>
            <w:tcMar>
              <w:top w:w="80" w:type="dxa"/>
              <w:start w:w="80" w:type="dxa"/>
              <w:bottom w:w="80" w:type="dxa"/>
              <w:end w:w="80" w:type="dxa"/>
            </w:tcMar>
          </w:tcPr>
          <w:p>
            <w:r>
              <w:rPr>
                <w:sz w:val="17"/>
              </w:rPr>
              <w:t>Assess the actual intended use, affected persons and decisions—not merely the model type.</w:t>
            </w:r>
          </w:p>
        </w:tc>
      </w:tr>
      <w:tr>
        <w:tc>
          <w:tcPr>
            <w:tcW w:type="dxa" w:w="2448"/>
            <w:vAlign w:val="top"/>
            <w:tcMar>
              <w:top w:w="80" w:type="dxa"/>
              <w:start w:w="80" w:type="dxa"/>
              <w:bottom w:w="80" w:type="dxa"/>
              <w:end w:w="80" w:type="dxa"/>
            </w:tcMar>
          </w:tcPr>
          <w:p>
            <w:r>
              <w:rPr>
                <w:sz w:val="17"/>
              </w:rPr>
              <w:t>Scenario-based risk</w:t>
            </w:r>
          </w:p>
        </w:tc>
        <w:tc>
          <w:tcPr>
            <w:tcW w:type="dxa" w:w="8208"/>
            <w:vAlign w:val="top"/>
            <w:tcMar>
              <w:top w:w="80" w:type="dxa"/>
              <w:start w:w="80" w:type="dxa"/>
              <w:bottom w:w="80" w:type="dxa"/>
              <w:end w:w="80" w:type="dxa"/>
            </w:tcMar>
          </w:tcPr>
          <w:p>
            <w:r>
              <w:rPr>
                <w:sz w:val="17"/>
              </w:rPr>
              <w:t>Score concrete cause → event → impact scenarios, not generic labels such as “bias risk.”</w:t>
            </w:r>
          </w:p>
        </w:tc>
      </w:tr>
      <w:tr>
        <w:tc>
          <w:tcPr>
            <w:tcW w:type="dxa" w:w="2448"/>
            <w:vAlign w:val="top"/>
            <w:tcMar>
              <w:top w:w="80" w:type="dxa"/>
              <w:start w:w="80" w:type="dxa"/>
              <w:bottom w:w="80" w:type="dxa"/>
              <w:end w:w="80" w:type="dxa"/>
            </w:tcMar>
          </w:tcPr>
          <w:p>
            <w:r>
              <w:rPr>
                <w:sz w:val="17"/>
              </w:rPr>
              <w:t>No averaging away severe harm</w:t>
            </w:r>
          </w:p>
        </w:tc>
        <w:tc>
          <w:tcPr>
            <w:tcW w:type="dxa" w:w="8208"/>
            <w:vAlign w:val="top"/>
            <w:tcMar>
              <w:top w:w="80" w:type="dxa"/>
              <w:start w:w="80" w:type="dxa"/>
              <w:bottom w:w="80" w:type="dxa"/>
              <w:end w:w="80" w:type="dxa"/>
            </w:tcMar>
          </w:tcPr>
          <w:p>
            <w:r>
              <w:rPr>
                <w:sz w:val="17"/>
              </w:rPr>
              <w:t>The system rating is driven by the highest material scenario rather than an average that could dilute a severe safety or rights risk.</w:t>
            </w:r>
          </w:p>
        </w:tc>
      </w:tr>
      <w:tr>
        <w:tc>
          <w:tcPr>
            <w:tcW w:type="dxa" w:w="2448"/>
            <w:vAlign w:val="top"/>
            <w:tcMar>
              <w:top w:w="80" w:type="dxa"/>
              <w:start w:w="80" w:type="dxa"/>
              <w:bottom w:w="80" w:type="dxa"/>
              <w:end w:w="80" w:type="dxa"/>
            </w:tcMar>
          </w:tcPr>
          <w:p>
            <w:r>
              <w:rPr>
                <w:sz w:val="17"/>
              </w:rPr>
              <w:t>Controls require evidence</w:t>
            </w:r>
          </w:p>
        </w:tc>
        <w:tc>
          <w:tcPr>
            <w:tcW w:type="dxa" w:w="8208"/>
            <w:vAlign w:val="top"/>
            <w:tcMar>
              <w:top w:w="80" w:type="dxa"/>
              <w:start w:w="80" w:type="dxa"/>
              <w:bottom w:w="80" w:type="dxa"/>
              <w:end w:w="80" w:type="dxa"/>
            </w:tcMar>
          </w:tcPr>
          <w:p>
            <w:r>
              <w:rPr>
                <w:sz w:val="17"/>
              </w:rPr>
              <w:t>Planned controls receive no credit as implemented controls. Evidence confidence is recorded separately.</w:t>
            </w:r>
          </w:p>
        </w:tc>
      </w:tr>
      <w:tr>
        <w:tc>
          <w:tcPr>
            <w:tcW w:type="dxa" w:w="2448"/>
            <w:vAlign w:val="top"/>
            <w:tcMar>
              <w:top w:w="80" w:type="dxa"/>
              <w:start w:w="80" w:type="dxa"/>
              <w:bottom w:w="80" w:type="dxa"/>
              <w:end w:w="80" w:type="dxa"/>
            </w:tcMar>
          </w:tcPr>
          <w:p>
            <w:r>
              <w:rPr>
                <w:sz w:val="17"/>
              </w:rPr>
              <w:t>Residual risk is re-assessed</w:t>
            </w:r>
          </w:p>
        </w:tc>
        <w:tc>
          <w:tcPr>
            <w:tcW w:type="dxa" w:w="8208"/>
            <w:vAlign w:val="top"/>
            <w:tcMar>
              <w:top w:w="80" w:type="dxa"/>
              <w:start w:w="80" w:type="dxa"/>
              <w:bottom w:w="80" w:type="dxa"/>
              <w:end w:w="80" w:type="dxa"/>
            </w:tcMar>
          </w:tcPr>
          <w:p>
            <w:r>
              <w:rPr>
                <w:sz w:val="17"/>
              </w:rPr>
              <w:t>Controls do not mathematically divide the inherent score. Severity and likelihood are reconsidered after operating controls.</w:t>
            </w:r>
          </w:p>
        </w:tc>
      </w:tr>
      <w:tr>
        <w:tc>
          <w:tcPr>
            <w:tcW w:type="dxa" w:w="2448"/>
            <w:vAlign w:val="top"/>
            <w:tcMar>
              <w:top w:w="80" w:type="dxa"/>
              <w:start w:w="80" w:type="dxa"/>
              <w:bottom w:w="80" w:type="dxa"/>
              <w:end w:w="80" w:type="dxa"/>
            </w:tcMar>
          </w:tcPr>
          <w:p>
            <w:r>
              <w:rPr>
                <w:sz w:val="17"/>
              </w:rPr>
              <w:t>Lifecycle governance</w:t>
            </w:r>
          </w:p>
        </w:tc>
        <w:tc>
          <w:tcPr>
            <w:tcW w:type="dxa" w:w="8208"/>
            <w:vAlign w:val="top"/>
            <w:tcMar>
              <w:top w:w="80" w:type="dxa"/>
              <w:start w:w="80" w:type="dxa"/>
              <w:bottom w:w="80" w:type="dxa"/>
              <w:end w:w="80" w:type="dxa"/>
            </w:tcMar>
          </w:tcPr>
          <w:p>
            <w:r>
              <w:rPr>
                <w:sz w:val="17"/>
              </w:rPr>
              <w:t>Assessment is repeated after material change, significant incidents, drift, new data sources, new integrations or regulatory changes.</w:t>
            </w:r>
          </w:p>
        </w:tc>
      </w:tr>
    </w:tbl>
    <w:p>
      <w:pPr>
        <w:pStyle w:val="Heading1"/>
      </w:pPr>
      <w:r>
        <w:t>4. Roles and accountability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7365D"/>
            <w:vAlign w:val="center"/>
            <w:tcMar>
              <w:top w:w="80" w:type="dxa"/>
              <w:start w:w="80" w:type="dxa"/>
              <w:bottom w:w="80" w:type="dxa"/>
              <w:end w:w="80" w:type="dxa"/>
            </w:tcMar>
          </w:tcPr>
          <w:p>
            <w:r>
              <w:rPr>
                <w:b/>
                <w:color w:val="FFFFFF"/>
                <w:sz w:val="17"/>
              </w:rPr>
              <w:t>Role</w:t>
            </w:r>
          </w:p>
        </w:tc>
        <w:tc>
          <w:tcPr>
            <w:tcW w:type="dxa" w:w="5328"/>
            <w:shd w:fill="17365D"/>
            <w:vAlign w:val="center"/>
            <w:tcMar>
              <w:top w:w="80" w:type="dxa"/>
              <w:start w:w="80" w:type="dxa"/>
              <w:bottom w:w="80" w:type="dxa"/>
              <w:end w:w="80" w:type="dxa"/>
            </w:tcMar>
          </w:tcPr>
          <w:p>
            <w:r>
              <w:rPr>
                <w:b/>
                <w:color w:val="FFFFFF"/>
                <w:sz w:val="17"/>
              </w:rPr>
              <w:t>Primary accountability</w:t>
            </w:r>
          </w:p>
        </w:tc>
        <w:tc>
          <w:tcPr>
            <w:tcW w:type="dxa" w:w="3168"/>
            <w:shd w:fill="17365D"/>
            <w:vAlign w:val="center"/>
            <w:tcMar>
              <w:top w:w="80" w:type="dxa"/>
              <w:start w:w="80" w:type="dxa"/>
              <w:bottom w:w="80" w:type="dxa"/>
              <w:end w:w="80" w:type="dxa"/>
            </w:tcMar>
          </w:tcPr>
          <w:p>
            <w:r>
              <w:rPr>
                <w:b/>
                <w:color w:val="FFFFFF"/>
                <w:sz w:val="17"/>
              </w:rPr>
              <w:t>Independence / challenge</w:t>
            </w:r>
          </w:p>
        </w:tc>
      </w:tr>
      <w:tr>
        <w:tc>
          <w:tcPr>
            <w:tcW w:type="dxa" w:w="2304"/>
            <w:vAlign w:val="top"/>
            <w:tcMar>
              <w:top w:w="80" w:type="dxa"/>
              <w:start w:w="80" w:type="dxa"/>
              <w:bottom w:w="80" w:type="dxa"/>
              <w:end w:w="80" w:type="dxa"/>
            </w:tcMar>
          </w:tcPr>
          <w:p>
            <w:r>
              <w:rPr>
                <w:sz w:val="17"/>
              </w:rPr>
              <w:t>Business / AI System Owner</w:t>
            </w:r>
          </w:p>
        </w:tc>
        <w:tc>
          <w:tcPr>
            <w:tcW w:type="dxa" w:w="5328"/>
            <w:vAlign w:val="top"/>
            <w:tcMar>
              <w:top w:w="80" w:type="dxa"/>
              <w:start w:w="80" w:type="dxa"/>
              <w:bottom w:w="80" w:type="dxa"/>
              <w:end w:w="80" w:type="dxa"/>
            </w:tcMar>
          </w:tcPr>
          <w:p>
            <w:r>
              <w:rPr>
                <w:sz w:val="17"/>
              </w:rPr>
              <w:t>Owns intended purpose, use case, treatment plan, operating controls and risk acceptance request.</w:t>
            </w:r>
          </w:p>
        </w:tc>
        <w:tc>
          <w:tcPr>
            <w:tcW w:type="dxa" w:w="3168"/>
            <w:vAlign w:val="top"/>
            <w:tcMar>
              <w:top w:w="80" w:type="dxa"/>
              <w:start w:w="80" w:type="dxa"/>
              <w:bottom w:w="80" w:type="dxa"/>
              <w:end w:w="80" w:type="dxa"/>
            </w:tcMar>
          </w:tcPr>
          <w:p>
            <w:r>
              <w:rPr>
                <w:sz w:val="17"/>
              </w:rPr>
              <w:t>Cannot self-approve High/Critical residual risk.</w:t>
            </w:r>
          </w:p>
        </w:tc>
      </w:tr>
      <w:tr>
        <w:tc>
          <w:tcPr>
            <w:tcW w:type="dxa" w:w="2304"/>
            <w:vAlign w:val="top"/>
            <w:tcMar>
              <w:top w:w="80" w:type="dxa"/>
              <w:start w:w="80" w:type="dxa"/>
              <w:bottom w:w="80" w:type="dxa"/>
              <w:end w:w="80" w:type="dxa"/>
            </w:tcMar>
          </w:tcPr>
          <w:p>
            <w:r>
              <w:rPr>
                <w:sz w:val="17"/>
              </w:rPr>
              <w:t>Technical Owner / Data &amp; AI</w:t>
            </w:r>
          </w:p>
        </w:tc>
        <w:tc>
          <w:tcPr>
            <w:tcW w:type="dxa" w:w="5328"/>
            <w:vAlign w:val="top"/>
            <w:tcMar>
              <w:top w:w="80" w:type="dxa"/>
              <w:start w:w="80" w:type="dxa"/>
              <w:bottom w:w="80" w:type="dxa"/>
              <w:end w:w="80" w:type="dxa"/>
            </w:tcMar>
          </w:tcPr>
          <w:p>
            <w:r>
              <w:rPr>
                <w:sz w:val="17"/>
              </w:rPr>
              <w:t>Architecture, model/service implementation, testing, monitoring and change evidence.</w:t>
            </w:r>
          </w:p>
        </w:tc>
        <w:tc>
          <w:tcPr>
            <w:tcW w:type="dxa" w:w="3168"/>
            <w:vAlign w:val="top"/>
            <w:tcMar>
              <w:top w:w="80" w:type="dxa"/>
              <w:start w:w="80" w:type="dxa"/>
              <w:bottom w:w="80" w:type="dxa"/>
              <w:end w:w="80" w:type="dxa"/>
            </w:tcMar>
          </w:tcPr>
          <w:p>
            <w:r>
              <w:rPr>
                <w:sz w:val="17"/>
              </w:rPr>
              <w:t>Provides technical evidence; does not determine legal classification alone.</w:t>
            </w:r>
          </w:p>
        </w:tc>
      </w:tr>
      <w:tr>
        <w:tc>
          <w:tcPr>
            <w:tcW w:type="dxa" w:w="2304"/>
            <w:vAlign w:val="top"/>
            <w:tcMar>
              <w:top w:w="80" w:type="dxa"/>
              <w:start w:w="80" w:type="dxa"/>
              <w:bottom w:w="80" w:type="dxa"/>
              <w:end w:w="80" w:type="dxa"/>
            </w:tcMar>
          </w:tcPr>
          <w:p>
            <w:r>
              <w:rPr>
                <w:sz w:val="17"/>
              </w:rPr>
              <w:t>AI Governance Lead / Risk &amp; Compliance</w:t>
            </w:r>
          </w:p>
        </w:tc>
        <w:tc>
          <w:tcPr>
            <w:tcW w:type="dxa" w:w="5328"/>
            <w:vAlign w:val="top"/>
            <w:tcMar>
              <w:top w:w="80" w:type="dxa"/>
              <w:start w:w="80" w:type="dxa"/>
              <w:bottom w:w="80" w:type="dxa"/>
              <w:end w:w="80" w:type="dxa"/>
            </w:tcMar>
          </w:tcPr>
          <w:p>
            <w:r>
              <w:rPr>
                <w:sz w:val="17"/>
              </w:rPr>
              <w:t>Runs methodology, challenges scoring, maintains inventory and committee reporting.</w:t>
            </w:r>
          </w:p>
        </w:tc>
        <w:tc>
          <w:tcPr>
            <w:tcW w:type="dxa" w:w="3168"/>
            <w:vAlign w:val="top"/>
            <w:tcMar>
              <w:top w:w="80" w:type="dxa"/>
              <w:start w:w="80" w:type="dxa"/>
              <w:bottom w:w="80" w:type="dxa"/>
              <w:end w:w="80" w:type="dxa"/>
            </w:tcMar>
          </w:tcPr>
          <w:p>
            <w:r>
              <w:rPr>
                <w:sz w:val="17"/>
              </w:rPr>
              <w:t>Second-line challenge.</w:t>
            </w:r>
          </w:p>
        </w:tc>
      </w:tr>
      <w:tr>
        <w:tc>
          <w:tcPr>
            <w:tcW w:type="dxa" w:w="2304"/>
            <w:vAlign w:val="top"/>
            <w:tcMar>
              <w:top w:w="80" w:type="dxa"/>
              <w:start w:w="80" w:type="dxa"/>
              <w:bottom w:w="80" w:type="dxa"/>
              <w:end w:w="80" w:type="dxa"/>
            </w:tcMar>
          </w:tcPr>
          <w:p>
            <w:r>
              <w:rPr>
                <w:sz w:val="17"/>
              </w:rPr>
              <w:t>CISO / Security</w:t>
            </w:r>
          </w:p>
        </w:tc>
        <w:tc>
          <w:tcPr>
            <w:tcW w:type="dxa" w:w="5328"/>
            <w:vAlign w:val="top"/>
            <w:tcMar>
              <w:top w:w="80" w:type="dxa"/>
              <w:start w:w="80" w:type="dxa"/>
              <w:bottom w:w="80" w:type="dxa"/>
              <w:end w:w="80" w:type="dxa"/>
            </w:tcMar>
          </w:tcPr>
          <w:p>
            <w:r>
              <w:rPr>
                <w:sz w:val="17"/>
              </w:rPr>
              <w:t>AI security, data leakage, integrations, threat modelling and security testing.</w:t>
            </w:r>
          </w:p>
        </w:tc>
        <w:tc>
          <w:tcPr>
            <w:tcW w:type="dxa" w:w="3168"/>
            <w:vAlign w:val="top"/>
            <w:tcMar>
              <w:top w:w="80" w:type="dxa"/>
              <w:start w:w="80" w:type="dxa"/>
              <w:bottom w:w="80" w:type="dxa"/>
              <w:end w:w="80" w:type="dxa"/>
            </w:tcMar>
          </w:tcPr>
          <w:p>
            <w:r>
              <w:rPr>
                <w:sz w:val="17"/>
              </w:rPr>
              <w:t>Independent security challenge.</w:t>
            </w:r>
          </w:p>
        </w:tc>
      </w:tr>
      <w:tr>
        <w:tc>
          <w:tcPr>
            <w:tcW w:type="dxa" w:w="2304"/>
            <w:vAlign w:val="top"/>
            <w:tcMar>
              <w:top w:w="80" w:type="dxa"/>
              <w:start w:w="80" w:type="dxa"/>
              <w:bottom w:w="80" w:type="dxa"/>
              <w:end w:w="80" w:type="dxa"/>
            </w:tcMar>
          </w:tcPr>
          <w:p>
            <w:r>
              <w:rPr>
                <w:sz w:val="17"/>
              </w:rPr>
              <w:t>Legal / Privacy / HR SMEs</w:t>
            </w:r>
          </w:p>
        </w:tc>
        <w:tc>
          <w:tcPr>
            <w:tcW w:type="dxa" w:w="5328"/>
            <w:vAlign w:val="top"/>
            <w:tcMar>
              <w:top w:w="80" w:type="dxa"/>
              <w:start w:w="80" w:type="dxa"/>
              <w:bottom w:w="80" w:type="dxa"/>
              <w:end w:w="80" w:type="dxa"/>
            </w:tcMar>
          </w:tcPr>
          <w:p>
            <w:r>
              <w:rPr>
                <w:sz w:val="17"/>
              </w:rPr>
              <w:t>Legal classification, privacy, employment, consumer and rights analysis.</w:t>
            </w:r>
          </w:p>
        </w:tc>
        <w:tc>
          <w:tcPr>
            <w:tcW w:type="dxa" w:w="3168"/>
            <w:vAlign w:val="top"/>
            <w:tcMar>
              <w:top w:w="80" w:type="dxa"/>
              <w:start w:w="80" w:type="dxa"/>
              <w:bottom w:w="80" w:type="dxa"/>
              <w:end w:w="80" w:type="dxa"/>
            </w:tcMar>
          </w:tcPr>
          <w:p>
            <w:r>
              <w:rPr>
                <w:sz w:val="17"/>
              </w:rPr>
              <w:t>Required for affected domains.</w:t>
            </w:r>
          </w:p>
        </w:tc>
      </w:tr>
      <w:tr>
        <w:tc>
          <w:tcPr>
            <w:tcW w:type="dxa" w:w="2304"/>
            <w:vAlign w:val="top"/>
            <w:tcMar>
              <w:top w:w="80" w:type="dxa"/>
              <w:start w:w="80" w:type="dxa"/>
              <w:bottom w:w="80" w:type="dxa"/>
              <w:end w:w="80" w:type="dxa"/>
            </w:tcMar>
          </w:tcPr>
          <w:p>
            <w:r>
              <w:rPr>
                <w:sz w:val="17"/>
              </w:rPr>
              <w:t>AI Governance Committee</w:t>
            </w:r>
          </w:p>
        </w:tc>
        <w:tc>
          <w:tcPr>
            <w:tcW w:type="dxa" w:w="5328"/>
            <w:vAlign w:val="top"/>
            <w:tcMar>
              <w:top w:w="80" w:type="dxa"/>
              <w:start w:w="80" w:type="dxa"/>
              <w:bottom w:w="80" w:type="dxa"/>
              <w:end w:w="80" w:type="dxa"/>
            </w:tcMar>
          </w:tcPr>
          <w:p>
            <w:r>
              <w:rPr>
                <w:sz w:val="17"/>
              </w:rPr>
              <w:t>Approves material High risks, exceptions, risk treatment and production gates.</w:t>
            </w:r>
          </w:p>
        </w:tc>
        <w:tc>
          <w:tcPr>
            <w:tcW w:type="dxa" w:w="3168"/>
            <w:vAlign w:val="top"/>
            <w:tcMar>
              <w:top w:w="80" w:type="dxa"/>
              <w:start w:w="80" w:type="dxa"/>
              <w:bottom w:w="80" w:type="dxa"/>
              <w:end w:w="80" w:type="dxa"/>
            </w:tcMar>
          </w:tcPr>
          <w:p>
            <w:r>
              <w:rPr>
                <w:sz w:val="17"/>
              </w:rPr>
              <w:t>Cross-functional decision body.</w:t>
            </w:r>
          </w:p>
        </w:tc>
      </w:tr>
      <w:tr>
        <w:tc>
          <w:tcPr>
            <w:tcW w:type="dxa" w:w="2304"/>
            <w:vAlign w:val="top"/>
            <w:tcMar>
              <w:top w:w="80" w:type="dxa"/>
              <w:start w:w="80" w:type="dxa"/>
              <w:bottom w:w="80" w:type="dxa"/>
              <w:end w:w="80" w:type="dxa"/>
            </w:tcMar>
          </w:tcPr>
          <w:p>
            <w:r>
              <w:rPr>
                <w:sz w:val="17"/>
              </w:rPr>
              <w:t>Internal Audit</w:t>
            </w:r>
          </w:p>
        </w:tc>
        <w:tc>
          <w:tcPr>
            <w:tcW w:type="dxa" w:w="5328"/>
            <w:vAlign w:val="top"/>
            <w:tcMar>
              <w:top w:w="80" w:type="dxa"/>
              <w:start w:w="80" w:type="dxa"/>
              <w:bottom w:w="80" w:type="dxa"/>
              <w:end w:w="80" w:type="dxa"/>
            </w:tcMar>
          </w:tcPr>
          <w:p>
            <w:r>
              <w:rPr>
                <w:sz w:val="17"/>
              </w:rPr>
              <w:t>Independent assurance over design and operation of governance/controls.</w:t>
            </w:r>
          </w:p>
        </w:tc>
        <w:tc>
          <w:tcPr>
            <w:tcW w:type="dxa" w:w="3168"/>
            <w:vAlign w:val="top"/>
            <w:tcMar>
              <w:top w:w="80" w:type="dxa"/>
              <w:start w:w="80" w:type="dxa"/>
              <w:bottom w:w="80" w:type="dxa"/>
              <w:end w:w="80" w:type="dxa"/>
            </w:tcMar>
          </w:tcPr>
          <w:p>
            <w:r>
              <w:rPr>
                <w:sz w:val="17"/>
              </w:rPr>
              <w:t>Does not own or design first/second-line controls.</w:t>
            </w:r>
          </w:p>
        </w:tc>
      </w:tr>
    </w:tbl>
    <w:p>
      <w:pPr>
        <w:pStyle w:val="Heading1"/>
      </w:pPr>
      <w:r>
        <w:t>5. Assessment workflow</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65D"/>
            <w:vAlign w:val="center"/>
            <w:tcMar>
              <w:top w:w="80" w:type="dxa"/>
              <w:start w:w="80" w:type="dxa"/>
              <w:bottom w:w="80" w:type="dxa"/>
              <w:end w:w="80" w:type="dxa"/>
            </w:tcMar>
          </w:tcPr>
          <w:p>
            <w:r>
              <w:rPr>
                <w:b/>
                <w:color w:val="FFFFFF"/>
                <w:sz w:val="17"/>
              </w:rPr>
              <w:t>Stage</w:t>
            </w:r>
          </w:p>
        </w:tc>
        <w:tc>
          <w:tcPr>
            <w:tcW w:type="dxa" w:w="6984"/>
            <w:shd w:fill="17365D"/>
            <w:vAlign w:val="center"/>
            <w:tcMar>
              <w:top w:w="80" w:type="dxa"/>
              <w:start w:w="80" w:type="dxa"/>
              <w:bottom w:w="80" w:type="dxa"/>
              <w:end w:w="80" w:type="dxa"/>
            </w:tcMar>
          </w:tcPr>
          <w:p>
            <w:r>
              <w:rPr>
                <w:b/>
                <w:color w:val="FFFFFF"/>
                <w:sz w:val="17"/>
              </w:rPr>
              <w:t>Required activity</w:t>
            </w:r>
          </w:p>
        </w:tc>
        <w:tc>
          <w:tcPr>
            <w:tcW w:type="dxa" w:w="2232"/>
            <w:shd w:fill="17365D"/>
            <w:vAlign w:val="center"/>
            <w:tcMar>
              <w:top w:w="80" w:type="dxa"/>
              <w:start w:w="80" w:type="dxa"/>
              <w:bottom w:w="80" w:type="dxa"/>
              <w:end w:w="80" w:type="dxa"/>
            </w:tcMar>
          </w:tcPr>
          <w:p>
            <w:r>
              <w:rPr>
                <w:b/>
                <w:color w:val="FFFFFF"/>
                <w:sz w:val="17"/>
              </w:rPr>
              <w:t>Output</w:t>
            </w:r>
          </w:p>
        </w:tc>
      </w:tr>
      <w:tr>
        <w:tc>
          <w:tcPr>
            <w:tcW w:type="dxa" w:w="1944"/>
            <w:vAlign w:val="top"/>
            <w:tcMar>
              <w:top w:w="80" w:type="dxa"/>
              <w:start w:w="80" w:type="dxa"/>
              <w:bottom w:w="80" w:type="dxa"/>
              <w:end w:w="80" w:type="dxa"/>
            </w:tcMar>
          </w:tcPr>
          <w:p>
            <w:r>
              <w:rPr>
                <w:sz w:val="17"/>
              </w:rPr>
              <w:t>1 — Inventory &amp; scope</w:t>
            </w:r>
          </w:p>
        </w:tc>
        <w:tc>
          <w:tcPr>
            <w:tcW w:type="dxa" w:w="6984"/>
            <w:vAlign w:val="top"/>
            <w:tcMar>
              <w:top w:w="80" w:type="dxa"/>
              <w:start w:w="80" w:type="dxa"/>
              <w:bottom w:w="80" w:type="dxa"/>
              <w:end w:w="80" w:type="dxa"/>
            </w:tcMar>
          </w:tcPr>
          <w:p>
            <w:r>
              <w:rPr>
                <w:sz w:val="17"/>
              </w:rPr>
              <w:t>Confirm intended purpose, lifecycle, owner, users, affected persons, data, model/provider, integrations, geographies and decision role.</w:t>
            </w:r>
          </w:p>
        </w:tc>
        <w:tc>
          <w:tcPr>
            <w:tcW w:type="dxa" w:w="2232"/>
            <w:vAlign w:val="top"/>
            <w:tcMar>
              <w:top w:w="80" w:type="dxa"/>
              <w:start w:w="80" w:type="dxa"/>
              <w:bottom w:w="80" w:type="dxa"/>
              <w:end w:w="80" w:type="dxa"/>
            </w:tcMar>
          </w:tcPr>
          <w:p>
            <w:r>
              <w:rPr>
                <w:sz w:val="17"/>
              </w:rPr>
              <w:t>Validated inventory entry</w:t>
            </w:r>
          </w:p>
        </w:tc>
      </w:tr>
      <w:tr>
        <w:tc>
          <w:tcPr>
            <w:tcW w:type="dxa" w:w="1944"/>
            <w:vAlign w:val="top"/>
            <w:tcMar>
              <w:top w:w="80" w:type="dxa"/>
              <w:start w:w="80" w:type="dxa"/>
              <w:bottom w:w="80" w:type="dxa"/>
              <w:end w:w="80" w:type="dxa"/>
            </w:tcMar>
          </w:tcPr>
          <w:p>
            <w:r>
              <w:rPr>
                <w:sz w:val="17"/>
              </w:rPr>
              <w:t>2 — Regulatory triage</w:t>
            </w:r>
          </w:p>
        </w:tc>
        <w:tc>
          <w:tcPr>
            <w:tcW w:type="dxa" w:w="6984"/>
            <w:vAlign w:val="top"/>
            <w:tcMar>
              <w:top w:w="80" w:type="dxa"/>
              <w:start w:w="80" w:type="dxa"/>
              <w:bottom w:w="80" w:type="dxa"/>
              <w:end w:w="80" w:type="dxa"/>
            </w:tcMar>
          </w:tcPr>
          <w:p>
            <w:r>
              <w:rPr>
                <w:sz w:val="17"/>
              </w:rPr>
              <w:t>Screen prohibited practices, EU AI Act high-risk routes, transparency obligations and other applicable law.</w:t>
            </w:r>
          </w:p>
        </w:tc>
        <w:tc>
          <w:tcPr>
            <w:tcW w:type="dxa" w:w="2232"/>
            <w:vAlign w:val="top"/>
            <w:tcMar>
              <w:top w:w="80" w:type="dxa"/>
              <w:start w:w="80" w:type="dxa"/>
              <w:bottom w:w="80" w:type="dxa"/>
              <w:end w:w="80" w:type="dxa"/>
            </w:tcMar>
          </w:tcPr>
          <w:p>
            <w:r>
              <w:rPr>
                <w:sz w:val="17"/>
              </w:rPr>
              <w:t>Legal classification / legal-review flag</w:t>
            </w:r>
          </w:p>
        </w:tc>
      </w:tr>
      <w:tr>
        <w:tc>
          <w:tcPr>
            <w:tcW w:type="dxa" w:w="1944"/>
            <w:vAlign w:val="top"/>
            <w:tcMar>
              <w:top w:w="80" w:type="dxa"/>
              <w:start w:w="80" w:type="dxa"/>
              <w:bottom w:w="80" w:type="dxa"/>
              <w:end w:w="80" w:type="dxa"/>
            </w:tcMar>
          </w:tcPr>
          <w:p>
            <w:r>
              <w:rPr>
                <w:sz w:val="17"/>
              </w:rPr>
              <w:t>3 — Context criticality</w:t>
            </w:r>
          </w:p>
        </w:tc>
        <w:tc>
          <w:tcPr>
            <w:tcW w:type="dxa" w:w="6984"/>
            <w:vAlign w:val="top"/>
            <w:tcMar>
              <w:top w:w="80" w:type="dxa"/>
              <w:start w:w="80" w:type="dxa"/>
              <w:bottom w:w="80" w:type="dxa"/>
              <w:end w:w="80" w:type="dxa"/>
            </w:tcMar>
          </w:tcPr>
          <w:p>
            <w:r>
              <w:rPr>
                <w:sz w:val="17"/>
              </w:rPr>
              <w:t>Identify people/rights, safety, privacy, security, reliability, autonomy, scale, reversibility and third-party factors.</w:t>
            </w:r>
          </w:p>
        </w:tc>
        <w:tc>
          <w:tcPr>
            <w:tcW w:type="dxa" w:w="2232"/>
            <w:vAlign w:val="top"/>
            <w:tcMar>
              <w:top w:w="80" w:type="dxa"/>
              <w:start w:w="80" w:type="dxa"/>
              <w:bottom w:w="80" w:type="dxa"/>
              <w:end w:w="80" w:type="dxa"/>
            </w:tcMar>
          </w:tcPr>
          <w:p>
            <w:r>
              <w:rPr>
                <w:sz w:val="17"/>
              </w:rPr>
              <w:t>Assessment context</w:t>
            </w:r>
          </w:p>
        </w:tc>
      </w:tr>
      <w:tr>
        <w:tc>
          <w:tcPr>
            <w:tcW w:type="dxa" w:w="1944"/>
            <w:vAlign w:val="top"/>
            <w:tcMar>
              <w:top w:w="80" w:type="dxa"/>
              <w:start w:w="80" w:type="dxa"/>
              <w:bottom w:w="80" w:type="dxa"/>
              <w:end w:w="80" w:type="dxa"/>
            </w:tcMar>
          </w:tcPr>
          <w:p>
            <w:r>
              <w:rPr>
                <w:sz w:val="17"/>
              </w:rPr>
              <w:t>4 — Risk scenarios</w:t>
            </w:r>
          </w:p>
        </w:tc>
        <w:tc>
          <w:tcPr>
            <w:tcW w:type="dxa" w:w="6984"/>
            <w:vAlign w:val="top"/>
            <w:tcMar>
              <w:top w:w="80" w:type="dxa"/>
              <w:start w:w="80" w:type="dxa"/>
              <w:bottom w:w="80" w:type="dxa"/>
              <w:end w:w="80" w:type="dxa"/>
            </w:tcMar>
          </w:tcPr>
          <w:p>
            <w:r>
              <w:rPr>
                <w:sz w:val="17"/>
              </w:rPr>
              <w:t>Write material cause → event → impact scenarios across Duckworks risk domains.</w:t>
            </w:r>
          </w:p>
        </w:tc>
        <w:tc>
          <w:tcPr>
            <w:tcW w:type="dxa" w:w="2232"/>
            <w:vAlign w:val="top"/>
            <w:tcMar>
              <w:top w:w="80" w:type="dxa"/>
              <w:start w:w="80" w:type="dxa"/>
              <w:bottom w:w="80" w:type="dxa"/>
              <w:end w:w="80" w:type="dxa"/>
            </w:tcMar>
          </w:tcPr>
          <w:p>
            <w:r>
              <w:rPr>
                <w:sz w:val="17"/>
              </w:rPr>
              <w:t>Risk scenario register</w:t>
            </w:r>
          </w:p>
        </w:tc>
      </w:tr>
      <w:tr>
        <w:tc>
          <w:tcPr>
            <w:tcW w:type="dxa" w:w="1944"/>
            <w:vAlign w:val="top"/>
            <w:tcMar>
              <w:top w:w="80" w:type="dxa"/>
              <w:start w:w="80" w:type="dxa"/>
              <w:bottom w:w="80" w:type="dxa"/>
              <w:end w:w="80" w:type="dxa"/>
            </w:tcMar>
          </w:tcPr>
          <w:p>
            <w:r>
              <w:rPr>
                <w:sz w:val="17"/>
              </w:rPr>
              <w:t>5 — Inherent scoring</w:t>
            </w:r>
          </w:p>
        </w:tc>
        <w:tc>
          <w:tcPr>
            <w:tcW w:type="dxa" w:w="6984"/>
            <w:vAlign w:val="top"/>
            <w:tcMar>
              <w:top w:w="80" w:type="dxa"/>
              <w:start w:w="80" w:type="dxa"/>
              <w:bottom w:w="80" w:type="dxa"/>
              <w:end w:w="80" w:type="dxa"/>
            </w:tcMar>
          </w:tcPr>
          <w:p>
            <w:r>
              <w:rPr>
                <w:sz w:val="17"/>
              </w:rPr>
              <w:t>Score severity and likelihood assuming no specific Duckworks mitigating controls.</w:t>
            </w:r>
          </w:p>
        </w:tc>
        <w:tc>
          <w:tcPr>
            <w:tcW w:type="dxa" w:w="2232"/>
            <w:vAlign w:val="top"/>
            <w:tcMar>
              <w:top w:w="80" w:type="dxa"/>
              <w:start w:w="80" w:type="dxa"/>
              <w:bottom w:w="80" w:type="dxa"/>
              <w:end w:w="80" w:type="dxa"/>
            </w:tcMar>
          </w:tcPr>
          <w:p>
            <w:r>
              <w:rPr>
                <w:sz w:val="17"/>
              </w:rPr>
              <w:t>Inherent rating</w:t>
            </w:r>
          </w:p>
        </w:tc>
      </w:tr>
      <w:tr>
        <w:tc>
          <w:tcPr>
            <w:tcW w:type="dxa" w:w="1944"/>
            <w:vAlign w:val="top"/>
            <w:tcMar>
              <w:top w:w="80" w:type="dxa"/>
              <w:start w:w="80" w:type="dxa"/>
              <w:bottom w:w="80" w:type="dxa"/>
              <w:end w:w="80" w:type="dxa"/>
            </w:tcMar>
          </w:tcPr>
          <w:p>
            <w:r>
              <w:rPr>
                <w:sz w:val="17"/>
              </w:rPr>
              <w:t>6 — Control assessment</w:t>
            </w:r>
          </w:p>
        </w:tc>
        <w:tc>
          <w:tcPr>
            <w:tcW w:type="dxa" w:w="6984"/>
            <w:vAlign w:val="top"/>
            <w:tcMar>
              <w:top w:w="80" w:type="dxa"/>
              <w:start w:w="80" w:type="dxa"/>
              <w:bottom w:w="80" w:type="dxa"/>
              <w:end w:w="80" w:type="dxa"/>
            </w:tcMar>
          </w:tcPr>
          <w:p>
            <w:r>
              <w:rPr>
                <w:sz w:val="17"/>
              </w:rPr>
              <w:t>Credit only implemented controls and assess evidence confidence.</w:t>
            </w:r>
          </w:p>
        </w:tc>
        <w:tc>
          <w:tcPr>
            <w:tcW w:type="dxa" w:w="2232"/>
            <w:vAlign w:val="top"/>
            <w:tcMar>
              <w:top w:w="80" w:type="dxa"/>
              <w:start w:w="80" w:type="dxa"/>
              <w:bottom w:w="80" w:type="dxa"/>
              <w:end w:w="80" w:type="dxa"/>
            </w:tcMar>
          </w:tcPr>
          <w:p>
            <w:r>
              <w:rPr>
                <w:sz w:val="17"/>
              </w:rPr>
              <w:t>Control effectiveness</w:t>
            </w:r>
          </w:p>
        </w:tc>
      </w:tr>
      <w:tr>
        <w:tc>
          <w:tcPr>
            <w:tcW w:type="dxa" w:w="1944"/>
            <w:vAlign w:val="top"/>
            <w:tcMar>
              <w:top w:w="80" w:type="dxa"/>
              <w:start w:w="80" w:type="dxa"/>
              <w:bottom w:w="80" w:type="dxa"/>
              <w:end w:w="80" w:type="dxa"/>
            </w:tcMar>
          </w:tcPr>
          <w:p>
            <w:r>
              <w:rPr>
                <w:sz w:val="17"/>
              </w:rPr>
              <w:t>7 — Residual scoring</w:t>
            </w:r>
          </w:p>
        </w:tc>
        <w:tc>
          <w:tcPr>
            <w:tcW w:type="dxa" w:w="6984"/>
            <w:vAlign w:val="top"/>
            <w:tcMar>
              <w:top w:w="80" w:type="dxa"/>
              <w:start w:w="80" w:type="dxa"/>
              <w:bottom w:w="80" w:type="dxa"/>
              <w:end w:w="80" w:type="dxa"/>
            </w:tcMar>
          </w:tcPr>
          <w:p>
            <w:r>
              <w:rPr>
                <w:sz w:val="17"/>
              </w:rPr>
              <w:t>Re-score severity and likelihood after implemented controls.</w:t>
            </w:r>
          </w:p>
        </w:tc>
        <w:tc>
          <w:tcPr>
            <w:tcW w:type="dxa" w:w="2232"/>
            <w:vAlign w:val="top"/>
            <w:tcMar>
              <w:top w:w="80" w:type="dxa"/>
              <w:start w:w="80" w:type="dxa"/>
              <w:bottom w:w="80" w:type="dxa"/>
              <w:end w:w="80" w:type="dxa"/>
            </w:tcMar>
          </w:tcPr>
          <w:p>
            <w:r>
              <w:rPr>
                <w:sz w:val="17"/>
              </w:rPr>
              <w:t>Current residual rating</w:t>
            </w:r>
          </w:p>
        </w:tc>
      </w:tr>
      <w:tr>
        <w:tc>
          <w:tcPr>
            <w:tcW w:type="dxa" w:w="1944"/>
            <w:vAlign w:val="top"/>
            <w:tcMar>
              <w:top w:w="80" w:type="dxa"/>
              <w:start w:w="80" w:type="dxa"/>
              <w:bottom w:w="80" w:type="dxa"/>
              <w:end w:w="80" w:type="dxa"/>
            </w:tcMar>
          </w:tcPr>
          <w:p>
            <w:r>
              <w:rPr>
                <w:sz w:val="17"/>
              </w:rPr>
              <w:t>8 — Treatment &amp; monitoring</w:t>
            </w:r>
          </w:p>
        </w:tc>
        <w:tc>
          <w:tcPr>
            <w:tcW w:type="dxa" w:w="6984"/>
            <w:vAlign w:val="top"/>
            <w:tcMar>
              <w:top w:w="80" w:type="dxa"/>
              <w:start w:w="80" w:type="dxa"/>
              <w:bottom w:w="80" w:type="dxa"/>
              <w:end w:w="80" w:type="dxa"/>
            </w:tcMar>
          </w:tcPr>
          <w:p>
            <w:r>
              <w:rPr>
                <w:sz w:val="17"/>
              </w:rPr>
              <w:t>Define treatment, target residual, KPIs/KRIs, review cadence and approval authority.</w:t>
            </w:r>
          </w:p>
        </w:tc>
        <w:tc>
          <w:tcPr>
            <w:tcW w:type="dxa" w:w="2232"/>
            <w:vAlign w:val="top"/>
            <w:tcMar>
              <w:top w:w="80" w:type="dxa"/>
              <w:start w:w="80" w:type="dxa"/>
              <w:bottom w:w="80" w:type="dxa"/>
              <w:end w:w="80" w:type="dxa"/>
            </w:tcMar>
          </w:tcPr>
          <w:p>
            <w:r>
              <w:rPr>
                <w:sz w:val="17"/>
              </w:rPr>
              <w:t>Treatment/monitoring plan</w:t>
            </w:r>
          </w:p>
        </w:tc>
      </w:tr>
    </w:tbl>
    <w:p>
      <w:pPr>
        <w:pStyle w:val="Heading1"/>
      </w:pPr>
      <w:r>
        <w:t>6. Regulatory and legal triage</w:t>
      </w:r>
    </w:p>
    <w:p>
      <w:r>
        <w:t>Regulatory triage is a gate, not a risk multiplier. The assessor records the preliminary classification and obtains Legal/Compliance confirmation when required. A prohibited or otherwise unlawful use cannot be approved simply because its internal numerical risk score is low.</w:t>
      </w:r>
    </w:p>
    <w:p>
      <w:pPr>
        <w:pStyle w:val="ListBullet"/>
      </w:pPr>
      <w:r>
        <w:t>Prohibited-practice screening: determine whether the intended practice falls within an applicable prohibition.</w:t>
      </w:r>
    </w:p>
    <w:p>
      <w:pPr>
        <w:pStyle w:val="ListBullet"/>
      </w:pPr>
      <w:r>
        <w:t>High-risk screening: evaluate Article 6 and the relevant Annex I / Annex III route. For Annex III, document any reliance on the Article 6(3) derogation and the basis for it.</w:t>
      </w:r>
    </w:p>
    <w:p>
      <w:pPr>
        <w:pStyle w:val="ListBullet"/>
      </w:pPr>
      <w:r>
        <w:t>Transparency screening: identify systems that directly interact with natural persons or generate/manipulate content where Article 50 duties may apply.</w:t>
      </w:r>
    </w:p>
    <w:p>
      <w:pPr>
        <w:pStyle w:val="ListBullet"/>
      </w:pPr>
      <w:r>
        <w:t>Role classification: determine whether Duckworks is acting as provider, deployer, importer/distributor or may become a provider because of rebranding or substantial/intended-purpose modification.</w:t>
      </w:r>
    </w:p>
    <w:p>
      <w:pPr>
        <w:pStyle w:val="ListBullet"/>
      </w:pPr>
      <w:r>
        <w:t>Other law: privacy/data protection, employment, product safety, consumer protection, cybersecurity, intellectual property and sector-specific requirements remain separate applicability questions.</w:t>
      </w:r>
    </w:p>
    <w:tbl>
      <w:tblPr>
        <w:tblW w:type="auto" w:w="0"/>
        <w:jc w:val="center"/>
        <w:tblLook w:firstColumn="1" w:firstRow="1" w:lastColumn="0" w:lastRow="0" w:noHBand="0" w:noVBand="1" w:val="04A0"/>
      </w:tblPr>
      <w:tblGrid>
        <w:gridCol w:w="10224"/>
      </w:tblGrid>
      <w:tr>
        <w:tc>
          <w:tcPr>
            <w:tcW w:type="dxa" w:w="10224"/>
            <w:shd w:fill="EEF4F8"/>
            <w:tcMar>
              <w:top w:w="120" w:type="dxa"/>
              <w:start w:w="140" w:type="dxa"/>
              <w:bottom w:w="120" w:type="dxa"/>
              <w:end w:w="140" w:type="dxa"/>
            </w:tcMar>
          </w:tcPr>
          <w:p>
            <w:r>
              <w:rPr>
                <w:b/>
                <w:color w:val="17365D"/>
              </w:rPr>
              <w:t xml:space="preserve">Current legal timing used in this portfolio. </w:t>
            </w:r>
            <w:r>
              <w:t>The consolidated EU AI Act applies generally from 2 August 2026. Following Regulation (EU) 2026/1744, Chapter III Sections 1–3 for AI systems classified as high-risk under Article 6(2) and Annex III apply from 2 December 2027. DuckTalent is therefore treated as a high-risk design target now, while the document clearly distinguishes future application dates from current governance good practice.</w:t>
            </w:r>
          </w:p>
        </w:tc>
      </w:tr>
    </w:tbl>
    <w:p/>
    <w:p>
      <w:pPr>
        <w:pStyle w:val="Heading1"/>
      </w:pPr>
      <w:r>
        <w:t>7. Risk domains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7365D"/>
            <w:vAlign w:val="center"/>
            <w:tcMar>
              <w:top w:w="80" w:type="dxa"/>
              <w:start w:w="80" w:type="dxa"/>
              <w:bottom w:w="80" w:type="dxa"/>
              <w:end w:w="80" w:type="dxa"/>
            </w:tcMar>
          </w:tcPr>
          <w:p>
            <w:r>
              <w:rPr>
                <w:b/>
                <w:color w:val="FFFFFF"/>
                <w:sz w:val="17"/>
              </w:rPr>
              <w:t>Risk domain</w:t>
            </w:r>
          </w:p>
        </w:tc>
        <w:tc>
          <w:tcPr>
            <w:tcW w:type="dxa" w:w="7344"/>
            <w:shd w:fill="17365D"/>
            <w:vAlign w:val="center"/>
            <w:tcMar>
              <w:top w:w="80" w:type="dxa"/>
              <w:start w:w="80" w:type="dxa"/>
              <w:bottom w:w="80" w:type="dxa"/>
              <w:end w:w="80" w:type="dxa"/>
            </w:tcMar>
          </w:tcPr>
          <w:p>
            <w:r>
              <w:rPr>
                <w:b/>
                <w:color w:val="FFFFFF"/>
                <w:sz w:val="17"/>
              </w:rPr>
              <w:t>Assessment lens</w:t>
            </w:r>
          </w:p>
        </w:tc>
      </w:tr>
      <w:tr>
        <w:tc>
          <w:tcPr>
            <w:tcW w:type="dxa" w:w="3456"/>
            <w:vAlign w:val="top"/>
            <w:tcMar>
              <w:top w:w="80" w:type="dxa"/>
              <w:start w:w="80" w:type="dxa"/>
              <w:bottom w:w="80" w:type="dxa"/>
              <w:end w:w="80" w:type="dxa"/>
            </w:tcMar>
          </w:tcPr>
          <w:p>
            <w:r>
              <w:rPr>
                <w:sz w:val="17"/>
              </w:rPr>
              <w:t>Fundamental rights, fairness &amp; discrimination</w:t>
            </w:r>
          </w:p>
        </w:tc>
        <w:tc>
          <w:tcPr>
            <w:tcW w:type="dxa" w:w="7344"/>
            <w:vAlign w:val="top"/>
            <w:tcMar>
              <w:top w:w="80" w:type="dxa"/>
              <w:start w:w="80" w:type="dxa"/>
              <w:bottom w:w="80" w:type="dxa"/>
              <w:end w:w="80" w:type="dxa"/>
            </w:tcMar>
          </w:tcPr>
          <w:p>
            <w:r>
              <w:rPr>
                <w:sz w:val="17"/>
              </w:rPr>
              <w:t>Unequal treatment, accessibility, discrimination, exclusion or other adverse rights impacts.</w:t>
            </w:r>
          </w:p>
        </w:tc>
      </w:tr>
      <w:tr>
        <w:tc>
          <w:tcPr>
            <w:tcW w:type="dxa" w:w="3456"/>
            <w:vAlign w:val="top"/>
            <w:tcMar>
              <w:top w:w="80" w:type="dxa"/>
              <w:start w:w="80" w:type="dxa"/>
              <w:bottom w:w="80" w:type="dxa"/>
              <w:end w:w="80" w:type="dxa"/>
            </w:tcMar>
          </w:tcPr>
          <w:p>
            <w:r>
              <w:rPr>
                <w:sz w:val="17"/>
              </w:rPr>
              <w:t>Safety &amp; physical harm</w:t>
            </w:r>
          </w:p>
        </w:tc>
        <w:tc>
          <w:tcPr>
            <w:tcW w:type="dxa" w:w="7344"/>
            <w:vAlign w:val="top"/>
            <w:tcMar>
              <w:top w:w="80" w:type="dxa"/>
              <w:start w:w="80" w:type="dxa"/>
              <w:bottom w:w="80" w:type="dxa"/>
              <w:end w:w="80" w:type="dxa"/>
            </w:tcMar>
          </w:tcPr>
          <w:p>
            <w:r>
              <w:rPr>
                <w:sz w:val="17"/>
              </w:rPr>
              <w:t>Physical injury, unsafe product outcomes, hazardous operating decisions.</w:t>
            </w:r>
          </w:p>
        </w:tc>
      </w:tr>
      <w:tr>
        <w:tc>
          <w:tcPr>
            <w:tcW w:type="dxa" w:w="3456"/>
            <w:vAlign w:val="top"/>
            <w:tcMar>
              <w:top w:w="80" w:type="dxa"/>
              <w:start w:w="80" w:type="dxa"/>
              <w:bottom w:w="80" w:type="dxa"/>
              <w:end w:w="80" w:type="dxa"/>
            </w:tcMar>
          </w:tcPr>
          <w:p>
            <w:r>
              <w:rPr>
                <w:sz w:val="17"/>
              </w:rPr>
              <w:t>Privacy &amp; data governance</w:t>
            </w:r>
          </w:p>
        </w:tc>
        <w:tc>
          <w:tcPr>
            <w:tcW w:type="dxa" w:w="7344"/>
            <w:vAlign w:val="top"/>
            <w:tcMar>
              <w:top w:w="80" w:type="dxa"/>
              <w:start w:w="80" w:type="dxa"/>
              <w:bottom w:w="80" w:type="dxa"/>
              <w:end w:w="80" w:type="dxa"/>
            </w:tcMar>
          </w:tcPr>
          <w:p>
            <w:r>
              <w:rPr>
                <w:sz w:val="17"/>
              </w:rPr>
              <w:t>Personal data, confidentiality, IP, data minimization, provenance and retention.</w:t>
            </w:r>
          </w:p>
        </w:tc>
      </w:tr>
      <w:tr>
        <w:tc>
          <w:tcPr>
            <w:tcW w:type="dxa" w:w="3456"/>
            <w:vAlign w:val="top"/>
            <w:tcMar>
              <w:top w:w="80" w:type="dxa"/>
              <w:start w:w="80" w:type="dxa"/>
              <w:bottom w:w="80" w:type="dxa"/>
              <w:end w:w="80" w:type="dxa"/>
            </w:tcMar>
          </w:tcPr>
          <w:p>
            <w:r>
              <w:rPr>
                <w:sz w:val="17"/>
              </w:rPr>
              <w:t>Security, abuse &amp; adversarial manipulation</w:t>
            </w:r>
          </w:p>
        </w:tc>
        <w:tc>
          <w:tcPr>
            <w:tcW w:type="dxa" w:w="7344"/>
            <w:vAlign w:val="top"/>
            <w:tcMar>
              <w:top w:w="80" w:type="dxa"/>
              <w:start w:w="80" w:type="dxa"/>
              <w:bottom w:w="80" w:type="dxa"/>
              <w:end w:w="80" w:type="dxa"/>
            </w:tcMar>
          </w:tcPr>
          <w:p>
            <w:r>
              <w:rPr>
                <w:sz w:val="17"/>
              </w:rPr>
              <w:t>Prompt injection, data poisoning, model abuse, exfiltration, insecure tools/integrations.</w:t>
            </w:r>
          </w:p>
        </w:tc>
      </w:tr>
      <w:tr>
        <w:tc>
          <w:tcPr>
            <w:tcW w:type="dxa" w:w="3456"/>
            <w:vAlign w:val="top"/>
            <w:tcMar>
              <w:top w:w="80" w:type="dxa"/>
              <w:start w:w="80" w:type="dxa"/>
              <w:bottom w:w="80" w:type="dxa"/>
              <w:end w:w="80" w:type="dxa"/>
            </w:tcMar>
          </w:tcPr>
          <w:p>
            <w:r>
              <w:rPr>
                <w:sz w:val="17"/>
              </w:rPr>
              <w:t>Reliability, robustness &amp; model performance</w:t>
            </w:r>
          </w:p>
        </w:tc>
        <w:tc>
          <w:tcPr>
            <w:tcW w:type="dxa" w:w="7344"/>
            <w:vAlign w:val="top"/>
            <w:tcMar>
              <w:top w:w="80" w:type="dxa"/>
              <w:start w:w="80" w:type="dxa"/>
              <w:bottom w:w="80" w:type="dxa"/>
              <w:end w:w="80" w:type="dxa"/>
            </w:tcMar>
          </w:tcPr>
          <w:p>
            <w:r>
              <w:rPr>
                <w:sz w:val="17"/>
              </w:rPr>
              <w:t>Hallucination, accuracy, drift, distribution shift, brittleness, instability.</w:t>
            </w:r>
          </w:p>
        </w:tc>
      </w:tr>
      <w:tr>
        <w:tc>
          <w:tcPr>
            <w:tcW w:type="dxa" w:w="3456"/>
            <w:vAlign w:val="top"/>
            <w:tcMar>
              <w:top w:w="80" w:type="dxa"/>
              <w:start w:w="80" w:type="dxa"/>
              <w:bottom w:w="80" w:type="dxa"/>
              <w:end w:w="80" w:type="dxa"/>
            </w:tcMar>
          </w:tcPr>
          <w:p>
            <w:r>
              <w:rPr>
                <w:sz w:val="17"/>
              </w:rPr>
              <w:t>Transparency &amp; explainability</w:t>
            </w:r>
          </w:p>
        </w:tc>
        <w:tc>
          <w:tcPr>
            <w:tcW w:type="dxa" w:w="7344"/>
            <w:vAlign w:val="top"/>
            <w:tcMar>
              <w:top w:w="80" w:type="dxa"/>
              <w:start w:w="80" w:type="dxa"/>
              <w:bottom w:w="80" w:type="dxa"/>
              <w:end w:w="80" w:type="dxa"/>
            </w:tcMar>
          </w:tcPr>
          <w:p>
            <w:r>
              <w:rPr>
                <w:sz w:val="17"/>
              </w:rPr>
              <w:t>Disclosure, traceability, understandable output/limitations, contestability.</w:t>
            </w:r>
          </w:p>
        </w:tc>
      </w:tr>
      <w:tr>
        <w:tc>
          <w:tcPr>
            <w:tcW w:type="dxa" w:w="3456"/>
            <w:vAlign w:val="top"/>
            <w:tcMar>
              <w:top w:w="80" w:type="dxa"/>
              <w:start w:w="80" w:type="dxa"/>
              <w:bottom w:w="80" w:type="dxa"/>
              <w:end w:w="80" w:type="dxa"/>
            </w:tcMar>
          </w:tcPr>
          <w:p>
            <w:r>
              <w:rPr>
                <w:sz w:val="17"/>
              </w:rPr>
              <w:t>Human oversight &amp; automation bias</w:t>
            </w:r>
          </w:p>
        </w:tc>
        <w:tc>
          <w:tcPr>
            <w:tcW w:type="dxa" w:w="7344"/>
            <w:vAlign w:val="top"/>
            <w:tcMar>
              <w:top w:w="80" w:type="dxa"/>
              <w:start w:w="80" w:type="dxa"/>
              <w:bottom w:w="80" w:type="dxa"/>
              <w:end w:w="80" w:type="dxa"/>
            </w:tcMar>
          </w:tcPr>
          <w:p>
            <w:r>
              <w:rPr>
                <w:sz w:val="17"/>
              </w:rPr>
              <w:t>Over-reliance, ineffective review, inappropriate autonomy, unclear accountability.</w:t>
            </w:r>
          </w:p>
        </w:tc>
      </w:tr>
      <w:tr>
        <w:tc>
          <w:tcPr>
            <w:tcW w:type="dxa" w:w="3456"/>
            <w:vAlign w:val="top"/>
            <w:tcMar>
              <w:top w:w="80" w:type="dxa"/>
              <w:start w:w="80" w:type="dxa"/>
              <w:bottom w:w="80" w:type="dxa"/>
              <w:end w:w="80" w:type="dxa"/>
            </w:tcMar>
          </w:tcPr>
          <w:p>
            <w:r>
              <w:rPr>
                <w:sz w:val="17"/>
              </w:rPr>
              <w:t>Third-party &amp; supply chain</w:t>
            </w:r>
          </w:p>
        </w:tc>
        <w:tc>
          <w:tcPr>
            <w:tcW w:type="dxa" w:w="7344"/>
            <w:vAlign w:val="top"/>
            <w:tcMar>
              <w:top w:w="80" w:type="dxa"/>
              <w:start w:w="80" w:type="dxa"/>
              <w:bottom w:w="80" w:type="dxa"/>
              <w:end w:w="80" w:type="dxa"/>
            </w:tcMar>
          </w:tcPr>
          <w:p>
            <w:r>
              <w:rPr>
                <w:sz w:val="17"/>
              </w:rPr>
              <w:t>Vendor/model dependencies, contractual terms, sub-processors, model/service changes.</w:t>
            </w:r>
          </w:p>
        </w:tc>
      </w:tr>
      <w:tr>
        <w:tc>
          <w:tcPr>
            <w:tcW w:type="dxa" w:w="3456"/>
            <w:vAlign w:val="top"/>
            <w:tcMar>
              <w:top w:w="80" w:type="dxa"/>
              <w:start w:w="80" w:type="dxa"/>
              <w:bottom w:w="80" w:type="dxa"/>
              <w:end w:w="80" w:type="dxa"/>
            </w:tcMar>
          </w:tcPr>
          <w:p>
            <w:r>
              <w:rPr>
                <w:sz w:val="17"/>
              </w:rPr>
              <w:t>Operational, financial &amp; reputational</w:t>
            </w:r>
          </w:p>
        </w:tc>
        <w:tc>
          <w:tcPr>
            <w:tcW w:type="dxa" w:w="7344"/>
            <w:vAlign w:val="top"/>
            <w:tcMar>
              <w:top w:w="80" w:type="dxa"/>
              <w:start w:w="80" w:type="dxa"/>
              <w:bottom w:w="80" w:type="dxa"/>
              <w:end w:w="80" w:type="dxa"/>
            </w:tcMar>
          </w:tcPr>
          <w:p>
            <w:r>
              <w:rPr>
                <w:sz w:val="17"/>
              </w:rPr>
              <w:t>Service disruption, poor planning, cost, customer complaints, brand impact.</w:t>
            </w:r>
          </w:p>
        </w:tc>
      </w:tr>
      <w:tr>
        <w:tc>
          <w:tcPr>
            <w:tcW w:type="dxa" w:w="3456"/>
            <w:vAlign w:val="top"/>
            <w:tcMar>
              <w:top w:w="80" w:type="dxa"/>
              <w:start w:w="80" w:type="dxa"/>
              <w:bottom w:w="80" w:type="dxa"/>
              <w:end w:w="80" w:type="dxa"/>
            </w:tcMar>
          </w:tcPr>
          <w:p>
            <w:r>
              <w:rPr>
                <w:sz w:val="17"/>
              </w:rPr>
              <w:t>Legal, regulatory &amp; compliance</w:t>
            </w:r>
          </w:p>
        </w:tc>
        <w:tc>
          <w:tcPr>
            <w:tcW w:type="dxa" w:w="7344"/>
            <w:vAlign w:val="top"/>
            <w:tcMar>
              <w:top w:w="80" w:type="dxa"/>
              <w:start w:w="80" w:type="dxa"/>
              <w:bottom w:w="80" w:type="dxa"/>
              <w:end w:w="80" w:type="dxa"/>
            </w:tcMar>
          </w:tcPr>
          <w:p>
            <w:r>
              <w:rPr>
                <w:sz w:val="17"/>
              </w:rPr>
              <w:t>Applicable legal duties, documentation, approval, recordkeeping and control failure.</w:t>
            </w:r>
          </w:p>
        </w:tc>
      </w:tr>
    </w:tbl>
    <w:p>
      <w:pPr>
        <w:pStyle w:val="Heading1"/>
      </w:pPr>
      <w:r>
        <w:t>8. Scenario formulation</w:t>
      </w:r>
    </w:p>
    <w:p>
      <w:r>
        <w:t>Each material risk is written as a scenario:</w:t>
      </w:r>
    </w:p>
    <w:p>
      <w:pPr>
        <w:jc w:val="center"/>
      </w:pPr>
      <w:r>
        <w:rPr>
          <w:b/>
          <w:color w:val="17365D"/>
          <w:sz w:val="26"/>
        </w:rPr>
        <w:t>CAUSE  →  EVENT  →  IMPACT</w:t>
      </w:r>
    </w:p>
    <w:p>
      <w:r>
        <w:t>Example: Because candidate ranking uses historical or proxy features (cause), DuckTalent systematically ranks one group lower (event), resulting in discriminatory access to employment and regulatory/reputational harm (impact).</w:t>
      </w:r>
    </w:p>
    <w:p>
      <w:pPr>
        <w:pStyle w:val="Heading1"/>
      </w:pPr>
      <w:r>
        <w:t>9. Inherent risk scoring</w:t>
      </w:r>
    </w:p>
    <w:p>
      <w:r>
        <w:t>For each material scenario, inherent risk is assessed before crediting specific Duckworks mitigating controls:</w:t>
      </w:r>
    </w:p>
    <w:p>
      <w:pPr>
        <w:jc w:val="center"/>
      </w:pPr>
      <w:r>
        <w:rPr>
          <w:b/>
          <w:sz w:val="24"/>
        </w:rPr>
        <w:t>Inherent Risk Score = Severity × Likelihood</w:t>
      </w:r>
    </w:p>
    <w:p>
      <w:pPr>
        <w:pStyle w:val="Heading2"/>
      </w:pPr>
      <w:r>
        <w:t>9.1 Severity scale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7365D"/>
            <w:vAlign w:val="center"/>
            <w:tcMar>
              <w:top w:w="80" w:type="dxa"/>
              <w:start w:w="80" w:type="dxa"/>
              <w:bottom w:w="80" w:type="dxa"/>
              <w:end w:w="80" w:type="dxa"/>
            </w:tcMar>
          </w:tcPr>
          <w:p>
            <w:r>
              <w:rPr>
                <w:b/>
                <w:color w:val="FFFFFF"/>
                <w:sz w:val="17"/>
              </w:rPr>
              <w:t>Score</w:t>
            </w:r>
          </w:p>
        </w:tc>
        <w:tc>
          <w:tcPr>
            <w:tcW w:type="dxa" w:w="8640"/>
            <w:shd w:fill="17365D"/>
            <w:vAlign w:val="center"/>
            <w:tcMar>
              <w:top w:w="80" w:type="dxa"/>
              <w:start w:w="80" w:type="dxa"/>
              <w:bottom w:w="80" w:type="dxa"/>
              <w:end w:w="80" w:type="dxa"/>
            </w:tcMar>
          </w:tcPr>
          <w:p>
            <w:r>
              <w:rPr>
                <w:b/>
                <w:color w:val="FFFFFF"/>
                <w:sz w:val="17"/>
              </w:rPr>
              <w:t>Anchor</w:t>
            </w:r>
          </w:p>
        </w:tc>
      </w:tr>
      <w:tr>
        <w:tc>
          <w:tcPr>
            <w:tcW w:type="dxa" w:w="2160"/>
            <w:vAlign w:val="top"/>
            <w:tcMar>
              <w:top w:w="80" w:type="dxa"/>
              <w:start w:w="80" w:type="dxa"/>
              <w:bottom w:w="80" w:type="dxa"/>
              <w:end w:w="80" w:type="dxa"/>
            </w:tcMar>
          </w:tcPr>
          <w:p>
            <w:r>
              <w:rPr>
                <w:sz w:val="17"/>
              </w:rPr>
              <w:t>1 — Negligible</w:t>
            </w:r>
          </w:p>
        </w:tc>
        <w:tc>
          <w:tcPr>
            <w:tcW w:type="dxa" w:w="8640"/>
            <w:vAlign w:val="top"/>
            <w:tcMar>
              <w:top w:w="80" w:type="dxa"/>
              <w:start w:w="80" w:type="dxa"/>
              <w:bottom w:w="80" w:type="dxa"/>
              <w:end w:w="80" w:type="dxa"/>
            </w:tcMar>
          </w:tcPr>
          <w:p>
            <w:r>
              <w:rPr>
                <w:sz w:val="17"/>
              </w:rPr>
              <w:t>Minimal reversible effect; no material rights, safety, privacy, security or business impact.</w:t>
            </w:r>
          </w:p>
        </w:tc>
      </w:tr>
      <w:tr>
        <w:tc>
          <w:tcPr>
            <w:tcW w:type="dxa" w:w="2160"/>
            <w:vAlign w:val="top"/>
            <w:tcMar>
              <w:top w:w="80" w:type="dxa"/>
              <w:start w:w="80" w:type="dxa"/>
              <w:bottom w:w="80" w:type="dxa"/>
              <w:end w:w="80" w:type="dxa"/>
            </w:tcMar>
          </w:tcPr>
          <w:p>
            <w:r>
              <w:rPr>
                <w:sz w:val="17"/>
              </w:rPr>
              <w:t>2 — Minor</w:t>
            </w:r>
          </w:p>
        </w:tc>
        <w:tc>
          <w:tcPr>
            <w:tcW w:type="dxa" w:w="8640"/>
            <w:vAlign w:val="top"/>
            <w:tcMar>
              <w:top w:w="80" w:type="dxa"/>
              <w:start w:w="80" w:type="dxa"/>
              <w:bottom w:w="80" w:type="dxa"/>
              <w:end w:w="80" w:type="dxa"/>
            </w:tcMar>
          </w:tcPr>
          <w:p>
            <w:r>
              <w:rPr>
                <w:sz w:val="17"/>
              </w:rPr>
              <w:t>Limited/localized effect; straightforward remediation; low sensitivity.</w:t>
            </w:r>
          </w:p>
        </w:tc>
      </w:tr>
      <w:tr>
        <w:tc>
          <w:tcPr>
            <w:tcW w:type="dxa" w:w="2160"/>
            <w:vAlign w:val="top"/>
            <w:tcMar>
              <w:top w:w="80" w:type="dxa"/>
              <w:start w:w="80" w:type="dxa"/>
              <w:bottom w:w="80" w:type="dxa"/>
              <w:end w:w="80" w:type="dxa"/>
            </w:tcMar>
          </w:tcPr>
          <w:p>
            <w:r>
              <w:rPr>
                <w:sz w:val="17"/>
              </w:rPr>
              <w:t>3 — Moderate</w:t>
            </w:r>
          </w:p>
        </w:tc>
        <w:tc>
          <w:tcPr>
            <w:tcW w:type="dxa" w:w="8640"/>
            <w:vAlign w:val="top"/>
            <w:tcMar>
              <w:top w:w="80" w:type="dxa"/>
              <w:start w:w="80" w:type="dxa"/>
              <w:bottom w:w="80" w:type="dxa"/>
              <w:end w:w="80" w:type="dxa"/>
            </w:tcMar>
          </w:tcPr>
          <w:p>
            <w:r>
              <w:rPr>
                <w:sz w:val="17"/>
              </w:rPr>
              <w:t>Meaningful impact on individuals or operations; recoverable with management action.</w:t>
            </w:r>
          </w:p>
        </w:tc>
      </w:tr>
      <w:tr>
        <w:tc>
          <w:tcPr>
            <w:tcW w:type="dxa" w:w="2160"/>
            <w:vAlign w:val="top"/>
            <w:tcMar>
              <w:top w:w="80" w:type="dxa"/>
              <w:start w:w="80" w:type="dxa"/>
              <w:bottom w:w="80" w:type="dxa"/>
              <w:end w:w="80" w:type="dxa"/>
            </w:tcMar>
          </w:tcPr>
          <w:p>
            <w:r>
              <w:rPr>
                <w:sz w:val="17"/>
              </w:rPr>
              <w:t>4 — Major</w:t>
            </w:r>
          </w:p>
        </w:tc>
        <w:tc>
          <w:tcPr>
            <w:tcW w:type="dxa" w:w="8640"/>
            <w:vAlign w:val="top"/>
            <w:tcMar>
              <w:top w:w="80" w:type="dxa"/>
              <w:start w:w="80" w:type="dxa"/>
              <w:bottom w:w="80" w:type="dxa"/>
              <w:end w:w="80" w:type="dxa"/>
            </w:tcMar>
          </w:tcPr>
          <w:p>
            <w:r>
              <w:rPr>
                <w:sz w:val="17"/>
              </w:rPr>
              <w:t>Significant rights, privacy, security, financial, operational or reputational impact; substantial remediation.</w:t>
            </w:r>
          </w:p>
        </w:tc>
      </w:tr>
      <w:tr>
        <w:tc>
          <w:tcPr>
            <w:tcW w:type="dxa" w:w="2160"/>
            <w:vAlign w:val="top"/>
            <w:tcMar>
              <w:top w:w="80" w:type="dxa"/>
              <w:start w:w="80" w:type="dxa"/>
              <w:bottom w:w="80" w:type="dxa"/>
              <w:end w:w="80" w:type="dxa"/>
            </w:tcMar>
          </w:tcPr>
          <w:p>
            <w:r>
              <w:rPr>
                <w:sz w:val="17"/>
              </w:rPr>
              <w:t>5 — Severe</w:t>
            </w:r>
          </w:p>
        </w:tc>
        <w:tc>
          <w:tcPr>
            <w:tcW w:type="dxa" w:w="8640"/>
            <w:vAlign w:val="top"/>
            <w:tcMar>
              <w:top w:w="80" w:type="dxa"/>
              <w:start w:w="80" w:type="dxa"/>
              <w:bottom w:w="80" w:type="dxa"/>
              <w:end w:w="80" w:type="dxa"/>
            </w:tcMar>
          </w:tcPr>
          <w:p>
            <w:r>
              <w:rPr>
                <w:sz w:val="17"/>
              </w:rPr>
              <w:t>Potential serious physical harm, systemic fundamental-rights harm, major IP/confidentiality breach, or broad/irreversible impact.</w:t>
            </w:r>
          </w:p>
        </w:tc>
      </w:tr>
    </w:tbl>
    <w:p>
      <w:pPr>
        <w:pStyle w:val="Heading2"/>
      </w:pPr>
      <w:r>
        <w:t>9.2 Likelihood scale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7365D"/>
            <w:vAlign w:val="center"/>
            <w:tcMar>
              <w:top w:w="80" w:type="dxa"/>
              <w:start w:w="80" w:type="dxa"/>
              <w:bottom w:w="80" w:type="dxa"/>
              <w:end w:w="80" w:type="dxa"/>
            </w:tcMar>
          </w:tcPr>
          <w:p>
            <w:r>
              <w:rPr>
                <w:b/>
                <w:color w:val="FFFFFF"/>
                <w:sz w:val="17"/>
              </w:rPr>
              <w:t>Score</w:t>
            </w:r>
          </w:p>
        </w:tc>
        <w:tc>
          <w:tcPr>
            <w:tcW w:type="dxa" w:w="8640"/>
            <w:shd w:fill="17365D"/>
            <w:vAlign w:val="center"/>
            <w:tcMar>
              <w:top w:w="80" w:type="dxa"/>
              <w:start w:w="80" w:type="dxa"/>
              <w:bottom w:w="80" w:type="dxa"/>
              <w:end w:w="80" w:type="dxa"/>
            </w:tcMar>
          </w:tcPr>
          <w:p>
            <w:r>
              <w:rPr>
                <w:b/>
                <w:color w:val="FFFFFF"/>
                <w:sz w:val="17"/>
              </w:rPr>
              <w:t>Anchor</w:t>
            </w:r>
          </w:p>
        </w:tc>
      </w:tr>
      <w:tr>
        <w:tc>
          <w:tcPr>
            <w:tcW w:type="dxa" w:w="2160"/>
            <w:vAlign w:val="top"/>
            <w:tcMar>
              <w:top w:w="80" w:type="dxa"/>
              <w:start w:w="80" w:type="dxa"/>
              <w:bottom w:w="80" w:type="dxa"/>
              <w:end w:w="80" w:type="dxa"/>
            </w:tcMar>
          </w:tcPr>
          <w:p>
            <w:r>
              <w:rPr>
                <w:sz w:val="17"/>
              </w:rPr>
              <w:t>1 — Rare</w:t>
            </w:r>
          </w:p>
        </w:tc>
        <w:tc>
          <w:tcPr>
            <w:tcW w:type="dxa" w:w="8640"/>
            <w:vAlign w:val="top"/>
            <w:tcMar>
              <w:top w:w="80" w:type="dxa"/>
              <w:start w:w="80" w:type="dxa"/>
              <w:bottom w:w="80" w:type="dxa"/>
              <w:end w:w="80" w:type="dxa"/>
            </w:tcMar>
          </w:tcPr>
          <w:p>
            <w:r>
              <w:rPr>
                <w:sz w:val="17"/>
              </w:rPr>
              <w:t>Requires an exceptional combination of conditions; no meaningful evidence of recurrence.</w:t>
            </w:r>
          </w:p>
        </w:tc>
      </w:tr>
      <w:tr>
        <w:tc>
          <w:tcPr>
            <w:tcW w:type="dxa" w:w="2160"/>
            <w:vAlign w:val="top"/>
            <w:tcMar>
              <w:top w:w="80" w:type="dxa"/>
              <w:start w:w="80" w:type="dxa"/>
              <w:bottom w:w="80" w:type="dxa"/>
              <w:end w:w="80" w:type="dxa"/>
            </w:tcMar>
          </w:tcPr>
          <w:p>
            <w:r>
              <w:rPr>
                <w:sz w:val="17"/>
              </w:rPr>
              <w:t>2 — Unlikely</w:t>
            </w:r>
          </w:p>
        </w:tc>
        <w:tc>
          <w:tcPr>
            <w:tcW w:type="dxa" w:w="8640"/>
            <w:vAlign w:val="top"/>
            <w:tcMar>
              <w:top w:w="80" w:type="dxa"/>
              <w:start w:w="80" w:type="dxa"/>
              <w:bottom w:w="80" w:type="dxa"/>
              <w:end w:w="80" w:type="dxa"/>
            </w:tcMar>
          </w:tcPr>
          <w:p>
            <w:r>
              <w:rPr>
                <w:sz w:val="17"/>
              </w:rPr>
              <w:t>Credible but uncommon in normal use; limited exposure or difficult-to-trigger failure mechanism.</w:t>
            </w:r>
          </w:p>
        </w:tc>
      </w:tr>
      <w:tr>
        <w:tc>
          <w:tcPr>
            <w:tcW w:type="dxa" w:w="2160"/>
            <w:vAlign w:val="top"/>
            <w:tcMar>
              <w:top w:w="80" w:type="dxa"/>
              <w:start w:w="80" w:type="dxa"/>
              <w:bottom w:w="80" w:type="dxa"/>
              <w:end w:w="80" w:type="dxa"/>
            </w:tcMar>
          </w:tcPr>
          <w:p>
            <w:r>
              <w:rPr>
                <w:sz w:val="17"/>
              </w:rPr>
              <w:t>3 — Possible</w:t>
            </w:r>
          </w:p>
        </w:tc>
        <w:tc>
          <w:tcPr>
            <w:tcW w:type="dxa" w:w="8640"/>
            <w:vAlign w:val="top"/>
            <w:tcMar>
              <w:top w:w="80" w:type="dxa"/>
              <w:start w:w="80" w:type="dxa"/>
              <w:bottom w:w="80" w:type="dxa"/>
              <w:end w:w="80" w:type="dxa"/>
            </w:tcMar>
          </w:tcPr>
          <w:p>
            <w:r>
              <w:rPr>
                <w:sz w:val="17"/>
              </w:rPr>
              <w:t>Foreseeable in ordinary or reasonably foreseeable use.</w:t>
            </w:r>
          </w:p>
        </w:tc>
      </w:tr>
      <w:tr>
        <w:tc>
          <w:tcPr>
            <w:tcW w:type="dxa" w:w="2160"/>
            <w:vAlign w:val="top"/>
            <w:tcMar>
              <w:top w:w="80" w:type="dxa"/>
              <w:start w:w="80" w:type="dxa"/>
              <w:bottom w:w="80" w:type="dxa"/>
              <w:end w:w="80" w:type="dxa"/>
            </w:tcMar>
          </w:tcPr>
          <w:p>
            <w:r>
              <w:rPr>
                <w:sz w:val="17"/>
              </w:rPr>
              <w:t>4 — Likely</w:t>
            </w:r>
          </w:p>
        </w:tc>
        <w:tc>
          <w:tcPr>
            <w:tcW w:type="dxa" w:w="8640"/>
            <w:vAlign w:val="top"/>
            <w:tcMar>
              <w:top w:w="80" w:type="dxa"/>
              <w:start w:w="80" w:type="dxa"/>
              <w:bottom w:w="80" w:type="dxa"/>
              <w:end w:w="80" w:type="dxa"/>
            </w:tcMar>
          </w:tcPr>
          <w:p>
            <w:r>
              <w:rPr>
                <w:sz w:val="17"/>
              </w:rPr>
              <w:t>Expected to occur repeatedly without effective controls; frequent exposure or attractive attack path.</w:t>
            </w:r>
          </w:p>
        </w:tc>
      </w:tr>
      <w:tr>
        <w:tc>
          <w:tcPr>
            <w:tcW w:type="dxa" w:w="2160"/>
            <w:vAlign w:val="top"/>
            <w:tcMar>
              <w:top w:w="80" w:type="dxa"/>
              <w:start w:w="80" w:type="dxa"/>
              <w:bottom w:w="80" w:type="dxa"/>
              <w:end w:w="80" w:type="dxa"/>
            </w:tcMar>
          </w:tcPr>
          <w:p>
            <w:r>
              <w:rPr>
                <w:sz w:val="17"/>
              </w:rPr>
              <w:t>5 — Almost Certain</w:t>
            </w:r>
          </w:p>
        </w:tc>
        <w:tc>
          <w:tcPr>
            <w:tcW w:type="dxa" w:w="8640"/>
            <w:vAlign w:val="top"/>
            <w:tcMar>
              <w:top w:w="80" w:type="dxa"/>
              <w:start w:w="80" w:type="dxa"/>
              <w:bottom w:w="80" w:type="dxa"/>
              <w:end w:w="80" w:type="dxa"/>
            </w:tcMar>
          </w:tcPr>
          <w:p>
            <w:r>
              <w:rPr>
                <w:sz w:val="17"/>
              </w:rPr>
              <w:t>Persistent, observed or structurally expected condition absent redesign.</w:t>
            </w:r>
          </w:p>
        </w:tc>
      </w:tr>
    </w:tbl>
    <w:p>
      <w:pPr>
        <w:pStyle w:val="Heading2"/>
      </w:pPr>
      <w:r>
        <w:t>9.3 Risk matrix and governance thresholds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2448"/>
            <w:shd w:fill="17365D"/>
            <w:vAlign w:val="center"/>
            <w:tcMar>
              <w:top w:w="80" w:type="dxa"/>
              <w:start w:w="80" w:type="dxa"/>
              <w:bottom w:w="80" w:type="dxa"/>
              <w:end w:w="80" w:type="dxa"/>
            </w:tcMar>
          </w:tcPr>
          <w:p>
            <w:r>
              <w:rPr>
                <w:b/>
                <w:color w:val="FFFFFF"/>
                <w:sz w:val="17"/>
              </w:rPr>
              <w:t>Likelihood ↓ / Severity →</w:t>
            </w:r>
          </w:p>
        </w:tc>
        <w:tc>
          <w:tcPr>
            <w:tcW w:type="dxa" w:w="1584"/>
            <w:shd w:fill="17365D"/>
            <w:vAlign w:val="center"/>
            <w:tcMar>
              <w:top w:w="80" w:type="dxa"/>
              <w:start w:w="80" w:type="dxa"/>
              <w:bottom w:w="80" w:type="dxa"/>
              <w:end w:w="80" w:type="dxa"/>
            </w:tcMar>
          </w:tcPr>
          <w:p>
            <w:r>
              <w:rPr>
                <w:b/>
                <w:color w:val="FFFFFF"/>
                <w:sz w:val="17"/>
              </w:rPr>
              <w:t>1</w:t>
            </w:r>
          </w:p>
        </w:tc>
        <w:tc>
          <w:tcPr>
            <w:tcW w:type="dxa" w:w="1584"/>
            <w:shd w:fill="17365D"/>
            <w:vAlign w:val="center"/>
            <w:tcMar>
              <w:top w:w="80" w:type="dxa"/>
              <w:start w:w="80" w:type="dxa"/>
              <w:bottom w:w="80" w:type="dxa"/>
              <w:end w:w="80" w:type="dxa"/>
            </w:tcMar>
          </w:tcPr>
          <w:p>
            <w:r>
              <w:rPr>
                <w:b/>
                <w:color w:val="FFFFFF"/>
                <w:sz w:val="17"/>
              </w:rPr>
              <w:t>2</w:t>
            </w:r>
          </w:p>
        </w:tc>
        <w:tc>
          <w:tcPr>
            <w:tcW w:type="dxa" w:w="1584"/>
            <w:shd w:fill="17365D"/>
            <w:vAlign w:val="center"/>
            <w:tcMar>
              <w:top w:w="80" w:type="dxa"/>
              <w:start w:w="80" w:type="dxa"/>
              <w:bottom w:w="80" w:type="dxa"/>
              <w:end w:w="80" w:type="dxa"/>
            </w:tcMar>
          </w:tcPr>
          <w:p>
            <w:r>
              <w:rPr>
                <w:b/>
                <w:color w:val="FFFFFF"/>
                <w:sz w:val="17"/>
              </w:rPr>
              <w:t>3</w:t>
            </w:r>
          </w:p>
        </w:tc>
        <w:tc>
          <w:tcPr>
            <w:tcW w:type="dxa" w:w="1584"/>
            <w:shd w:fill="17365D"/>
            <w:vAlign w:val="center"/>
            <w:tcMar>
              <w:top w:w="80" w:type="dxa"/>
              <w:start w:w="80" w:type="dxa"/>
              <w:bottom w:w="80" w:type="dxa"/>
              <w:end w:w="80" w:type="dxa"/>
            </w:tcMar>
          </w:tcPr>
          <w:p>
            <w:r>
              <w:rPr>
                <w:b/>
                <w:color w:val="FFFFFF"/>
                <w:sz w:val="17"/>
              </w:rPr>
              <w:t>4</w:t>
            </w:r>
          </w:p>
        </w:tc>
        <w:tc>
          <w:tcPr>
            <w:tcW w:type="dxa" w:w="1584"/>
            <w:shd w:fill="17365D"/>
            <w:vAlign w:val="center"/>
            <w:tcMar>
              <w:top w:w="80" w:type="dxa"/>
              <w:start w:w="80" w:type="dxa"/>
              <w:bottom w:w="80" w:type="dxa"/>
              <w:end w:w="80" w:type="dxa"/>
            </w:tcMar>
          </w:tcPr>
          <w:p>
            <w:r>
              <w:rPr>
                <w:b/>
                <w:color w:val="FFFFFF"/>
                <w:sz w:val="17"/>
              </w:rPr>
              <w:t>5</w:t>
            </w:r>
          </w:p>
        </w:tc>
      </w:tr>
      <w:tr>
        <w:tc>
          <w:tcPr>
            <w:tcW w:type="dxa" w:w="2448"/>
            <w:vAlign w:val="top"/>
            <w:tcMar>
              <w:top w:w="80" w:type="dxa"/>
              <w:start w:w="80" w:type="dxa"/>
              <w:bottom w:w="80" w:type="dxa"/>
              <w:end w:w="80" w:type="dxa"/>
            </w:tcMar>
          </w:tcPr>
          <w:p>
            <w:r>
              <w:rPr>
                <w:sz w:val="17"/>
              </w:rPr>
              <w:t>1</w:t>
            </w:r>
          </w:p>
        </w:tc>
        <w:tc>
          <w:tcPr>
            <w:tcW w:type="dxa" w:w="1584"/>
            <w:shd w:fill="D9EAD3"/>
            <w:vAlign w:val="top"/>
            <w:tcMar>
              <w:top w:w="80" w:type="dxa"/>
              <w:start w:w="80" w:type="dxa"/>
              <w:bottom w:w="80" w:type="dxa"/>
              <w:end w:w="80" w:type="dxa"/>
            </w:tcMar>
          </w:tcPr>
          <w:p>
            <w:r>
              <w:rPr>
                <w:sz w:val="17"/>
              </w:rPr>
              <w:t>1</w:t>
              <w:br/>
              <w:t>Low</w:t>
            </w:r>
          </w:p>
        </w:tc>
        <w:tc>
          <w:tcPr>
            <w:tcW w:type="dxa" w:w="1584"/>
            <w:shd w:fill="D9EAD3"/>
            <w:vAlign w:val="top"/>
            <w:tcMar>
              <w:top w:w="80" w:type="dxa"/>
              <w:start w:w="80" w:type="dxa"/>
              <w:bottom w:w="80" w:type="dxa"/>
              <w:end w:w="80" w:type="dxa"/>
            </w:tcMar>
          </w:tcPr>
          <w:p>
            <w:r>
              <w:rPr>
                <w:sz w:val="17"/>
              </w:rPr>
              <w:t>2</w:t>
              <w:br/>
              <w:t>Low</w:t>
            </w:r>
          </w:p>
        </w:tc>
        <w:tc>
          <w:tcPr>
            <w:tcW w:type="dxa" w:w="1584"/>
            <w:shd w:fill="D9EAD3"/>
            <w:vAlign w:val="top"/>
            <w:tcMar>
              <w:top w:w="80" w:type="dxa"/>
              <w:start w:w="80" w:type="dxa"/>
              <w:bottom w:w="80" w:type="dxa"/>
              <w:end w:w="80" w:type="dxa"/>
            </w:tcMar>
          </w:tcPr>
          <w:p>
            <w:r>
              <w:rPr>
                <w:sz w:val="17"/>
              </w:rPr>
              <w:t>3</w:t>
              <w:br/>
              <w:t>Low</w:t>
            </w:r>
          </w:p>
        </w:tc>
        <w:tc>
          <w:tcPr>
            <w:tcW w:type="dxa" w:w="1584"/>
            <w:shd w:fill="D9EAD3"/>
            <w:vAlign w:val="top"/>
            <w:tcMar>
              <w:top w:w="80" w:type="dxa"/>
              <w:start w:w="80" w:type="dxa"/>
              <w:bottom w:w="80" w:type="dxa"/>
              <w:end w:w="80" w:type="dxa"/>
            </w:tcMar>
          </w:tcPr>
          <w:p>
            <w:r>
              <w:rPr>
                <w:sz w:val="17"/>
              </w:rPr>
              <w:t>4</w:t>
              <w:br/>
              <w:t>Low</w:t>
            </w:r>
          </w:p>
        </w:tc>
        <w:tc>
          <w:tcPr>
            <w:tcW w:type="dxa" w:w="1584"/>
            <w:shd w:fill="FFF2CC"/>
            <w:vAlign w:val="top"/>
            <w:tcMar>
              <w:top w:w="80" w:type="dxa"/>
              <w:start w:w="80" w:type="dxa"/>
              <w:bottom w:w="80" w:type="dxa"/>
              <w:end w:w="80" w:type="dxa"/>
            </w:tcMar>
          </w:tcPr>
          <w:p>
            <w:r>
              <w:rPr>
                <w:sz w:val="17"/>
              </w:rPr>
              <w:t>5</w:t>
              <w:br/>
              <w:t>Moderate</w:t>
            </w:r>
          </w:p>
        </w:tc>
      </w:tr>
      <w:tr>
        <w:tc>
          <w:tcPr>
            <w:tcW w:type="dxa" w:w="2448"/>
            <w:vAlign w:val="top"/>
            <w:tcMar>
              <w:top w:w="80" w:type="dxa"/>
              <w:start w:w="80" w:type="dxa"/>
              <w:bottom w:w="80" w:type="dxa"/>
              <w:end w:w="80" w:type="dxa"/>
            </w:tcMar>
          </w:tcPr>
          <w:p>
            <w:r>
              <w:rPr>
                <w:sz w:val="17"/>
              </w:rPr>
              <w:t>2</w:t>
            </w:r>
          </w:p>
        </w:tc>
        <w:tc>
          <w:tcPr>
            <w:tcW w:type="dxa" w:w="1584"/>
            <w:shd w:fill="D9EAD3"/>
            <w:vAlign w:val="top"/>
            <w:tcMar>
              <w:top w:w="80" w:type="dxa"/>
              <w:start w:w="80" w:type="dxa"/>
              <w:bottom w:w="80" w:type="dxa"/>
              <w:end w:w="80" w:type="dxa"/>
            </w:tcMar>
          </w:tcPr>
          <w:p>
            <w:r>
              <w:rPr>
                <w:sz w:val="17"/>
              </w:rPr>
              <w:t>2</w:t>
              <w:br/>
              <w:t>Low</w:t>
            </w:r>
          </w:p>
        </w:tc>
        <w:tc>
          <w:tcPr>
            <w:tcW w:type="dxa" w:w="1584"/>
            <w:shd w:fill="D9EAD3"/>
            <w:vAlign w:val="top"/>
            <w:tcMar>
              <w:top w:w="80" w:type="dxa"/>
              <w:start w:w="80" w:type="dxa"/>
              <w:bottom w:w="80" w:type="dxa"/>
              <w:end w:w="80" w:type="dxa"/>
            </w:tcMar>
          </w:tcPr>
          <w:p>
            <w:r>
              <w:rPr>
                <w:sz w:val="17"/>
              </w:rPr>
              <w:t>4</w:t>
              <w:br/>
              <w:t>Low</w:t>
            </w:r>
          </w:p>
        </w:tc>
        <w:tc>
          <w:tcPr>
            <w:tcW w:type="dxa" w:w="1584"/>
            <w:shd w:fill="FFF2CC"/>
            <w:vAlign w:val="top"/>
            <w:tcMar>
              <w:top w:w="80" w:type="dxa"/>
              <w:start w:w="80" w:type="dxa"/>
              <w:bottom w:w="80" w:type="dxa"/>
              <w:end w:w="80" w:type="dxa"/>
            </w:tcMar>
          </w:tcPr>
          <w:p>
            <w:r>
              <w:rPr>
                <w:sz w:val="17"/>
              </w:rPr>
              <w:t>6</w:t>
              <w:br/>
              <w:t>Moderate</w:t>
            </w:r>
          </w:p>
        </w:tc>
        <w:tc>
          <w:tcPr>
            <w:tcW w:type="dxa" w:w="1584"/>
            <w:shd w:fill="FFF2CC"/>
            <w:vAlign w:val="top"/>
            <w:tcMar>
              <w:top w:w="80" w:type="dxa"/>
              <w:start w:w="80" w:type="dxa"/>
              <w:bottom w:w="80" w:type="dxa"/>
              <w:end w:w="80" w:type="dxa"/>
            </w:tcMar>
          </w:tcPr>
          <w:p>
            <w:r>
              <w:rPr>
                <w:sz w:val="17"/>
              </w:rPr>
              <w:t>8</w:t>
              <w:br/>
              <w:t>Moderate</w:t>
            </w:r>
          </w:p>
        </w:tc>
        <w:tc>
          <w:tcPr>
            <w:tcW w:type="dxa" w:w="1584"/>
            <w:shd w:fill="FCE5CD"/>
            <w:vAlign w:val="top"/>
            <w:tcMar>
              <w:top w:w="80" w:type="dxa"/>
              <w:start w:w="80" w:type="dxa"/>
              <w:bottom w:w="80" w:type="dxa"/>
              <w:end w:w="80" w:type="dxa"/>
            </w:tcMar>
          </w:tcPr>
          <w:p>
            <w:r>
              <w:rPr>
                <w:sz w:val="17"/>
              </w:rPr>
              <w:t>10</w:t>
              <w:br/>
              <w:t>High</w:t>
            </w:r>
          </w:p>
        </w:tc>
      </w:tr>
      <w:tr>
        <w:tc>
          <w:tcPr>
            <w:tcW w:type="dxa" w:w="2448"/>
            <w:vAlign w:val="top"/>
            <w:tcMar>
              <w:top w:w="80" w:type="dxa"/>
              <w:start w:w="80" w:type="dxa"/>
              <w:bottom w:w="80" w:type="dxa"/>
              <w:end w:w="80" w:type="dxa"/>
            </w:tcMar>
          </w:tcPr>
          <w:p>
            <w:r>
              <w:rPr>
                <w:sz w:val="17"/>
              </w:rPr>
              <w:t>3</w:t>
            </w:r>
          </w:p>
        </w:tc>
        <w:tc>
          <w:tcPr>
            <w:tcW w:type="dxa" w:w="1584"/>
            <w:shd w:fill="D9EAD3"/>
            <w:vAlign w:val="top"/>
            <w:tcMar>
              <w:top w:w="80" w:type="dxa"/>
              <w:start w:w="80" w:type="dxa"/>
              <w:bottom w:w="80" w:type="dxa"/>
              <w:end w:w="80" w:type="dxa"/>
            </w:tcMar>
          </w:tcPr>
          <w:p>
            <w:r>
              <w:rPr>
                <w:sz w:val="17"/>
              </w:rPr>
              <w:t>3</w:t>
              <w:br/>
              <w:t>Low</w:t>
            </w:r>
          </w:p>
        </w:tc>
        <w:tc>
          <w:tcPr>
            <w:tcW w:type="dxa" w:w="1584"/>
            <w:shd w:fill="FFF2CC"/>
            <w:vAlign w:val="top"/>
            <w:tcMar>
              <w:top w:w="80" w:type="dxa"/>
              <w:start w:w="80" w:type="dxa"/>
              <w:bottom w:w="80" w:type="dxa"/>
              <w:end w:w="80" w:type="dxa"/>
            </w:tcMar>
          </w:tcPr>
          <w:p>
            <w:r>
              <w:rPr>
                <w:sz w:val="17"/>
              </w:rPr>
              <w:t>6</w:t>
              <w:br/>
              <w:t>Moderate</w:t>
            </w:r>
          </w:p>
        </w:tc>
        <w:tc>
          <w:tcPr>
            <w:tcW w:type="dxa" w:w="1584"/>
            <w:shd w:fill="FFF2CC"/>
            <w:vAlign w:val="top"/>
            <w:tcMar>
              <w:top w:w="80" w:type="dxa"/>
              <w:start w:w="80" w:type="dxa"/>
              <w:bottom w:w="80" w:type="dxa"/>
              <w:end w:w="80" w:type="dxa"/>
            </w:tcMar>
          </w:tcPr>
          <w:p>
            <w:r>
              <w:rPr>
                <w:sz w:val="17"/>
              </w:rPr>
              <w:t>9</w:t>
              <w:br/>
              <w:t>Moderate</w:t>
            </w:r>
          </w:p>
        </w:tc>
        <w:tc>
          <w:tcPr>
            <w:tcW w:type="dxa" w:w="1584"/>
            <w:shd w:fill="FCE5CD"/>
            <w:vAlign w:val="top"/>
            <w:tcMar>
              <w:top w:w="80" w:type="dxa"/>
              <w:start w:w="80" w:type="dxa"/>
              <w:bottom w:w="80" w:type="dxa"/>
              <w:end w:w="80" w:type="dxa"/>
            </w:tcMar>
          </w:tcPr>
          <w:p>
            <w:r>
              <w:rPr>
                <w:sz w:val="17"/>
              </w:rPr>
              <w:t>12</w:t>
              <w:br/>
              <w:t>High</w:t>
            </w:r>
          </w:p>
        </w:tc>
        <w:tc>
          <w:tcPr>
            <w:tcW w:type="dxa" w:w="1584"/>
            <w:shd w:fill="FCE5CD"/>
            <w:vAlign w:val="top"/>
            <w:tcMar>
              <w:top w:w="80" w:type="dxa"/>
              <w:start w:w="80" w:type="dxa"/>
              <w:bottom w:w="80" w:type="dxa"/>
              <w:end w:w="80" w:type="dxa"/>
            </w:tcMar>
          </w:tcPr>
          <w:p>
            <w:r>
              <w:rPr>
                <w:sz w:val="17"/>
              </w:rPr>
              <w:t>15</w:t>
              <w:br/>
              <w:t>High</w:t>
            </w:r>
          </w:p>
        </w:tc>
      </w:tr>
      <w:tr>
        <w:tc>
          <w:tcPr>
            <w:tcW w:type="dxa" w:w="2448"/>
            <w:vAlign w:val="top"/>
            <w:tcMar>
              <w:top w:w="80" w:type="dxa"/>
              <w:start w:w="80" w:type="dxa"/>
              <w:bottom w:w="80" w:type="dxa"/>
              <w:end w:w="80" w:type="dxa"/>
            </w:tcMar>
          </w:tcPr>
          <w:p>
            <w:r>
              <w:rPr>
                <w:sz w:val="17"/>
              </w:rPr>
              <w:t>4</w:t>
            </w:r>
          </w:p>
        </w:tc>
        <w:tc>
          <w:tcPr>
            <w:tcW w:type="dxa" w:w="1584"/>
            <w:shd w:fill="D9EAD3"/>
            <w:vAlign w:val="top"/>
            <w:tcMar>
              <w:top w:w="80" w:type="dxa"/>
              <w:start w:w="80" w:type="dxa"/>
              <w:bottom w:w="80" w:type="dxa"/>
              <w:end w:w="80" w:type="dxa"/>
            </w:tcMar>
          </w:tcPr>
          <w:p>
            <w:r>
              <w:rPr>
                <w:sz w:val="17"/>
              </w:rPr>
              <w:t>4</w:t>
              <w:br/>
              <w:t>Low</w:t>
            </w:r>
          </w:p>
        </w:tc>
        <w:tc>
          <w:tcPr>
            <w:tcW w:type="dxa" w:w="1584"/>
            <w:shd w:fill="FFF2CC"/>
            <w:vAlign w:val="top"/>
            <w:tcMar>
              <w:top w:w="80" w:type="dxa"/>
              <w:start w:w="80" w:type="dxa"/>
              <w:bottom w:w="80" w:type="dxa"/>
              <w:end w:w="80" w:type="dxa"/>
            </w:tcMar>
          </w:tcPr>
          <w:p>
            <w:r>
              <w:rPr>
                <w:sz w:val="17"/>
              </w:rPr>
              <w:t>8</w:t>
              <w:br/>
              <w:t>Moderate</w:t>
            </w:r>
          </w:p>
        </w:tc>
        <w:tc>
          <w:tcPr>
            <w:tcW w:type="dxa" w:w="1584"/>
            <w:shd w:fill="FCE5CD"/>
            <w:vAlign w:val="top"/>
            <w:tcMar>
              <w:top w:w="80" w:type="dxa"/>
              <w:start w:w="80" w:type="dxa"/>
              <w:bottom w:w="80" w:type="dxa"/>
              <w:end w:w="80" w:type="dxa"/>
            </w:tcMar>
          </w:tcPr>
          <w:p>
            <w:r>
              <w:rPr>
                <w:sz w:val="17"/>
              </w:rPr>
              <w:t>12</w:t>
              <w:br/>
              <w:t>High</w:t>
            </w:r>
          </w:p>
        </w:tc>
        <w:tc>
          <w:tcPr>
            <w:tcW w:type="dxa" w:w="1584"/>
            <w:shd w:fill="FCE5CD"/>
            <w:vAlign w:val="top"/>
            <w:tcMar>
              <w:top w:w="80" w:type="dxa"/>
              <w:start w:w="80" w:type="dxa"/>
              <w:bottom w:w="80" w:type="dxa"/>
              <w:end w:w="80" w:type="dxa"/>
            </w:tcMar>
          </w:tcPr>
          <w:p>
            <w:r>
              <w:rPr>
                <w:sz w:val="17"/>
              </w:rPr>
              <w:t>16</w:t>
              <w:br/>
              <w:t>High</w:t>
            </w:r>
          </w:p>
        </w:tc>
        <w:tc>
          <w:tcPr>
            <w:tcW w:type="dxa" w:w="1584"/>
            <w:shd w:fill="F4CCCC"/>
            <w:vAlign w:val="top"/>
            <w:tcMar>
              <w:top w:w="80" w:type="dxa"/>
              <w:start w:w="80" w:type="dxa"/>
              <w:bottom w:w="80" w:type="dxa"/>
              <w:end w:w="80" w:type="dxa"/>
            </w:tcMar>
          </w:tcPr>
          <w:p>
            <w:r>
              <w:rPr>
                <w:sz w:val="17"/>
              </w:rPr>
              <w:t>20</w:t>
              <w:br/>
              <w:t>Critical</w:t>
            </w:r>
          </w:p>
        </w:tc>
      </w:tr>
      <w:tr>
        <w:tc>
          <w:tcPr>
            <w:tcW w:type="dxa" w:w="2448"/>
            <w:vAlign w:val="top"/>
            <w:tcMar>
              <w:top w:w="80" w:type="dxa"/>
              <w:start w:w="80" w:type="dxa"/>
              <w:bottom w:w="80" w:type="dxa"/>
              <w:end w:w="80" w:type="dxa"/>
            </w:tcMar>
          </w:tcPr>
          <w:p>
            <w:r>
              <w:rPr>
                <w:sz w:val="17"/>
              </w:rPr>
              <w:t>5</w:t>
            </w:r>
          </w:p>
        </w:tc>
        <w:tc>
          <w:tcPr>
            <w:tcW w:type="dxa" w:w="1584"/>
            <w:shd w:fill="FFF2CC"/>
            <w:vAlign w:val="top"/>
            <w:tcMar>
              <w:top w:w="80" w:type="dxa"/>
              <w:start w:w="80" w:type="dxa"/>
              <w:bottom w:w="80" w:type="dxa"/>
              <w:end w:w="80" w:type="dxa"/>
            </w:tcMar>
          </w:tcPr>
          <w:p>
            <w:r>
              <w:rPr>
                <w:sz w:val="17"/>
              </w:rPr>
              <w:t>5</w:t>
              <w:br/>
              <w:t>Moderate</w:t>
            </w:r>
          </w:p>
        </w:tc>
        <w:tc>
          <w:tcPr>
            <w:tcW w:type="dxa" w:w="1584"/>
            <w:shd w:fill="FCE5CD"/>
            <w:vAlign w:val="top"/>
            <w:tcMar>
              <w:top w:w="80" w:type="dxa"/>
              <w:start w:w="80" w:type="dxa"/>
              <w:bottom w:w="80" w:type="dxa"/>
              <w:end w:w="80" w:type="dxa"/>
            </w:tcMar>
          </w:tcPr>
          <w:p>
            <w:r>
              <w:rPr>
                <w:sz w:val="17"/>
              </w:rPr>
              <w:t>10</w:t>
              <w:br/>
              <w:t>High</w:t>
            </w:r>
          </w:p>
        </w:tc>
        <w:tc>
          <w:tcPr>
            <w:tcW w:type="dxa" w:w="1584"/>
            <w:shd w:fill="FCE5CD"/>
            <w:vAlign w:val="top"/>
            <w:tcMar>
              <w:top w:w="80" w:type="dxa"/>
              <w:start w:w="80" w:type="dxa"/>
              <w:bottom w:w="80" w:type="dxa"/>
              <w:end w:w="80" w:type="dxa"/>
            </w:tcMar>
          </w:tcPr>
          <w:p>
            <w:r>
              <w:rPr>
                <w:sz w:val="17"/>
              </w:rPr>
              <w:t>15</w:t>
              <w:br/>
              <w:t>High</w:t>
            </w:r>
          </w:p>
        </w:tc>
        <w:tc>
          <w:tcPr>
            <w:tcW w:type="dxa" w:w="1584"/>
            <w:shd w:fill="F4CCCC"/>
            <w:vAlign w:val="top"/>
            <w:tcMar>
              <w:top w:w="80" w:type="dxa"/>
              <w:start w:w="80" w:type="dxa"/>
              <w:bottom w:w="80" w:type="dxa"/>
              <w:end w:w="80" w:type="dxa"/>
            </w:tcMar>
          </w:tcPr>
          <w:p>
            <w:r>
              <w:rPr>
                <w:sz w:val="17"/>
              </w:rPr>
              <w:t>20</w:t>
              <w:br/>
              <w:t>Critical</w:t>
            </w:r>
          </w:p>
        </w:tc>
        <w:tc>
          <w:tcPr>
            <w:tcW w:type="dxa" w:w="1584"/>
            <w:shd w:fill="F4CCCC"/>
            <w:vAlign w:val="top"/>
            <w:tcMar>
              <w:top w:w="80" w:type="dxa"/>
              <w:start w:w="80" w:type="dxa"/>
              <w:bottom w:w="80" w:type="dxa"/>
              <w:end w:w="80" w:type="dxa"/>
            </w:tcMar>
          </w:tcPr>
          <w:p>
            <w:r>
              <w:rPr>
                <w:sz w:val="17"/>
              </w:rPr>
              <w:t>25</w:t>
              <w:br/>
              <w:t>Critical</w:t>
            </w:r>
          </w:p>
        </w:tc>
      </w:tr>
    </w:tbl>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7365D"/>
            <w:vAlign w:val="center"/>
            <w:tcMar>
              <w:top w:w="80" w:type="dxa"/>
              <w:start w:w="80" w:type="dxa"/>
              <w:bottom w:w="80" w:type="dxa"/>
              <w:end w:w="80" w:type="dxa"/>
            </w:tcMar>
          </w:tcPr>
          <w:p>
            <w:r>
              <w:rPr>
                <w:b/>
                <w:color w:val="FFFFFF"/>
                <w:sz w:val="17"/>
              </w:rPr>
              <w:t>Rating</w:t>
            </w:r>
          </w:p>
        </w:tc>
        <w:tc>
          <w:tcPr>
            <w:tcW w:type="dxa" w:w="1440"/>
            <w:shd w:fill="17365D"/>
            <w:vAlign w:val="center"/>
            <w:tcMar>
              <w:top w:w="80" w:type="dxa"/>
              <w:start w:w="80" w:type="dxa"/>
              <w:bottom w:w="80" w:type="dxa"/>
              <w:end w:w="80" w:type="dxa"/>
            </w:tcMar>
          </w:tcPr>
          <w:p>
            <w:r>
              <w:rPr>
                <w:b/>
                <w:color w:val="FFFFFF"/>
                <w:sz w:val="17"/>
              </w:rPr>
              <w:t>Score</w:t>
            </w:r>
          </w:p>
        </w:tc>
        <w:tc>
          <w:tcPr>
            <w:tcW w:type="dxa" w:w="7632"/>
            <w:shd w:fill="17365D"/>
            <w:vAlign w:val="center"/>
            <w:tcMar>
              <w:top w:w="80" w:type="dxa"/>
              <w:start w:w="80" w:type="dxa"/>
              <w:bottom w:w="80" w:type="dxa"/>
              <w:end w:w="80" w:type="dxa"/>
            </w:tcMar>
          </w:tcPr>
          <w:p>
            <w:r>
              <w:rPr>
                <w:b/>
                <w:color w:val="FFFFFF"/>
                <w:sz w:val="17"/>
              </w:rPr>
              <w:t>Governance response</w:t>
            </w:r>
          </w:p>
        </w:tc>
      </w:tr>
      <w:tr>
        <w:tc>
          <w:tcPr>
            <w:tcW w:type="dxa" w:w="1728"/>
            <w:shd w:fill="D9EAD3"/>
            <w:vAlign w:val="top"/>
            <w:tcMar>
              <w:top w:w="80" w:type="dxa"/>
              <w:start w:w="80" w:type="dxa"/>
              <w:bottom w:w="80" w:type="dxa"/>
              <w:end w:w="80" w:type="dxa"/>
            </w:tcMar>
          </w:tcPr>
          <w:p>
            <w:r>
              <w:rPr>
                <w:sz w:val="17"/>
              </w:rPr>
              <w:t>Low</w:t>
            </w:r>
          </w:p>
        </w:tc>
        <w:tc>
          <w:tcPr>
            <w:tcW w:type="dxa" w:w="1440"/>
            <w:vAlign w:val="top"/>
            <w:tcMar>
              <w:top w:w="80" w:type="dxa"/>
              <w:start w:w="80" w:type="dxa"/>
              <w:bottom w:w="80" w:type="dxa"/>
              <w:end w:w="80" w:type="dxa"/>
            </w:tcMar>
          </w:tcPr>
          <w:p>
            <w:r>
              <w:rPr>
                <w:sz w:val="17"/>
              </w:rPr>
              <w:t>1–4</w:t>
            </w:r>
          </w:p>
        </w:tc>
        <w:tc>
          <w:tcPr>
            <w:tcW w:type="dxa" w:w="7632"/>
            <w:vAlign w:val="top"/>
            <w:tcMar>
              <w:top w:w="80" w:type="dxa"/>
              <w:start w:w="80" w:type="dxa"/>
              <w:bottom w:w="80" w:type="dxa"/>
              <w:end w:w="80" w:type="dxa"/>
            </w:tcMar>
          </w:tcPr>
          <w:p>
            <w:r>
              <w:rPr>
                <w:sz w:val="17"/>
              </w:rPr>
              <w:t>Owner acceptance; routine controls; at least annual review.</w:t>
            </w:r>
          </w:p>
        </w:tc>
      </w:tr>
      <w:tr>
        <w:tc>
          <w:tcPr>
            <w:tcW w:type="dxa" w:w="1728"/>
            <w:shd w:fill="FFF2CC"/>
            <w:vAlign w:val="top"/>
            <w:tcMar>
              <w:top w:w="80" w:type="dxa"/>
              <w:start w:w="80" w:type="dxa"/>
              <w:bottom w:w="80" w:type="dxa"/>
              <w:end w:w="80" w:type="dxa"/>
            </w:tcMar>
          </w:tcPr>
          <w:p>
            <w:r>
              <w:rPr>
                <w:sz w:val="17"/>
              </w:rPr>
              <w:t>Moderate</w:t>
            </w:r>
          </w:p>
        </w:tc>
        <w:tc>
          <w:tcPr>
            <w:tcW w:type="dxa" w:w="1440"/>
            <w:vAlign w:val="top"/>
            <w:tcMar>
              <w:top w:w="80" w:type="dxa"/>
              <w:start w:w="80" w:type="dxa"/>
              <w:bottom w:w="80" w:type="dxa"/>
              <w:end w:w="80" w:type="dxa"/>
            </w:tcMar>
          </w:tcPr>
          <w:p>
            <w:r>
              <w:rPr>
                <w:sz w:val="17"/>
              </w:rPr>
              <w:t>5–9</w:t>
            </w:r>
          </w:p>
        </w:tc>
        <w:tc>
          <w:tcPr>
            <w:tcW w:type="dxa" w:w="7632"/>
            <w:vAlign w:val="top"/>
            <w:tcMar>
              <w:top w:w="80" w:type="dxa"/>
              <w:start w:w="80" w:type="dxa"/>
              <w:bottom w:w="80" w:type="dxa"/>
              <w:end w:w="80" w:type="dxa"/>
            </w:tcMar>
          </w:tcPr>
          <w:p>
            <w:r>
              <w:rPr>
                <w:sz w:val="17"/>
              </w:rPr>
              <w:t>Owner + AI Governance review; documented controls and monitoring.</w:t>
            </w:r>
          </w:p>
        </w:tc>
      </w:tr>
      <w:tr>
        <w:tc>
          <w:tcPr>
            <w:tcW w:type="dxa" w:w="1728"/>
            <w:shd w:fill="FCE5CD"/>
            <w:vAlign w:val="top"/>
            <w:tcMar>
              <w:top w:w="80" w:type="dxa"/>
              <w:start w:w="80" w:type="dxa"/>
              <w:bottom w:w="80" w:type="dxa"/>
              <w:end w:w="80" w:type="dxa"/>
            </w:tcMar>
          </w:tcPr>
          <w:p>
            <w:r>
              <w:rPr>
                <w:sz w:val="17"/>
              </w:rPr>
              <w:t>High</w:t>
            </w:r>
          </w:p>
        </w:tc>
        <w:tc>
          <w:tcPr>
            <w:tcW w:type="dxa" w:w="1440"/>
            <w:vAlign w:val="top"/>
            <w:tcMar>
              <w:top w:w="80" w:type="dxa"/>
              <w:start w:w="80" w:type="dxa"/>
              <w:bottom w:w="80" w:type="dxa"/>
              <w:end w:w="80" w:type="dxa"/>
            </w:tcMar>
          </w:tcPr>
          <w:p>
            <w:r>
              <w:rPr>
                <w:sz w:val="17"/>
              </w:rPr>
              <w:t>10–16</w:t>
            </w:r>
          </w:p>
        </w:tc>
        <w:tc>
          <w:tcPr>
            <w:tcW w:type="dxa" w:w="7632"/>
            <w:vAlign w:val="top"/>
            <w:tcMar>
              <w:top w:w="80" w:type="dxa"/>
              <w:start w:w="80" w:type="dxa"/>
              <w:bottom w:w="80" w:type="dxa"/>
              <w:end w:w="80" w:type="dxa"/>
            </w:tcMar>
          </w:tcPr>
          <w:p>
            <w:r>
              <w:rPr>
                <w:sz w:val="17"/>
              </w:rPr>
              <w:t>AI Governance Committee approval/treatment; enhanced evidence; pre-production gate.</w:t>
            </w:r>
          </w:p>
        </w:tc>
      </w:tr>
      <w:tr>
        <w:tc>
          <w:tcPr>
            <w:tcW w:type="dxa" w:w="1728"/>
            <w:shd w:fill="F4CCCC"/>
            <w:vAlign w:val="top"/>
            <w:tcMar>
              <w:top w:w="80" w:type="dxa"/>
              <w:start w:w="80" w:type="dxa"/>
              <w:bottom w:w="80" w:type="dxa"/>
              <w:end w:w="80" w:type="dxa"/>
            </w:tcMar>
          </w:tcPr>
          <w:p>
            <w:r>
              <w:rPr>
                <w:sz w:val="17"/>
              </w:rPr>
              <w:t>Critical</w:t>
            </w:r>
          </w:p>
        </w:tc>
        <w:tc>
          <w:tcPr>
            <w:tcW w:type="dxa" w:w="1440"/>
            <w:vAlign w:val="top"/>
            <w:tcMar>
              <w:top w:w="80" w:type="dxa"/>
              <w:start w:w="80" w:type="dxa"/>
              <w:bottom w:w="80" w:type="dxa"/>
              <w:end w:w="80" w:type="dxa"/>
            </w:tcMar>
          </w:tcPr>
          <w:p>
            <w:r>
              <w:rPr>
                <w:sz w:val="17"/>
              </w:rPr>
              <w:t>17–25</w:t>
            </w:r>
          </w:p>
        </w:tc>
        <w:tc>
          <w:tcPr>
            <w:tcW w:type="dxa" w:w="7632"/>
            <w:vAlign w:val="top"/>
            <w:tcMar>
              <w:top w:w="80" w:type="dxa"/>
              <w:start w:w="80" w:type="dxa"/>
              <w:bottom w:w="80" w:type="dxa"/>
              <w:end w:w="80" w:type="dxa"/>
            </w:tcMar>
          </w:tcPr>
          <w:p>
            <w:r>
              <w:rPr>
                <w:sz w:val="17"/>
              </w:rPr>
              <w:t>Deployment/continued use normally blocked pending treatment or exceptional executive risk acceptance; immediate escalation.</w:t>
            </w:r>
          </w:p>
        </w:tc>
      </w:tr>
    </w:tbl>
    <w:p>
      <w:pPr>
        <w:pStyle w:val="Heading1"/>
      </w:pPr>
      <w:r>
        <w:t>10. Control effectiveness and evidence confidence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7365D"/>
            <w:vAlign w:val="center"/>
            <w:tcMar>
              <w:top w:w="80" w:type="dxa"/>
              <w:start w:w="80" w:type="dxa"/>
              <w:bottom w:w="80" w:type="dxa"/>
              <w:end w:w="80" w:type="dxa"/>
            </w:tcMar>
          </w:tcPr>
          <w:p>
            <w:r>
              <w:rPr>
                <w:b/>
                <w:color w:val="FFFFFF"/>
                <w:sz w:val="17"/>
              </w:rPr>
              <w:t>Control effectiveness</w:t>
            </w:r>
          </w:p>
        </w:tc>
        <w:tc>
          <w:tcPr>
            <w:tcW w:type="dxa" w:w="5328"/>
            <w:shd w:fill="17365D"/>
            <w:vAlign w:val="center"/>
            <w:tcMar>
              <w:top w:w="80" w:type="dxa"/>
              <w:start w:w="80" w:type="dxa"/>
              <w:bottom w:w="80" w:type="dxa"/>
              <w:end w:w="80" w:type="dxa"/>
            </w:tcMar>
          </w:tcPr>
          <w:p>
            <w:r>
              <w:rPr>
                <w:b/>
                <w:color w:val="FFFFFF"/>
                <w:sz w:val="17"/>
              </w:rPr>
              <w:t>Meaning</w:t>
            </w:r>
          </w:p>
        </w:tc>
        <w:tc>
          <w:tcPr>
            <w:tcW w:type="dxa" w:w="2880"/>
            <w:shd w:fill="17365D"/>
            <w:vAlign w:val="center"/>
            <w:tcMar>
              <w:top w:w="80" w:type="dxa"/>
              <w:start w:w="80" w:type="dxa"/>
              <w:bottom w:w="80" w:type="dxa"/>
              <w:end w:w="80" w:type="dxa"/>
            </w:tcMar>
          </w:tcPr>
          <w:p>
            <w:r>
              <w:rPr>
                <w:b/>
                <w:color w:val="FFFFFF"/>
                <w:sz w:val="17"/>
              </w:rPr>
              <w:t>Evidence expectation</w:t>
            </w:r>
          </w:p>
        </w:tc>
      </w:tr>
      <w:tr>
        <w:tc>
          <w:tcPr>
            <w:tcW w:type="dxa" w:w="2592"/>
            <w:vAlign w:val="top"/>
            <w:tcMar>
              <w:top w:w="80" w:type="dxa"/>
              <w:start w:w="80" w:type="dxa"/>
              <w:bottom w:w="80" w:type="dxa"/>
              <w:end w:w="80" w:type="dxa"/>
            </w:tcMar>
          </w:tcPr>
          <w:p>
            <w:r>
              <w:rPr>
                <w:sz w:val="17"/>
              </w:rPr>
              <w:t>Not Implemented / Ineffective</w:t>
            </w:r>
          </w:p>
        </w:tc>
        <w:tc>
          <w:tcPr>
            <w:tcW w:type="dxa" w:w="5328"/>
            <w:vAlign w:val="top"/>
            <w:tcMar>
              <w:top w:w="80" w:type="dxa"/>
              <w:start w:w="80" w:type="dxa"/>
              <w:bottom w:w="80" w:type="dxa"/>
              <w:end w:w="80" w:type="dxa"/>
            </w:tcMar>
          </w:tcPr>
          <w:p>
            <w:r>
              <w:rPr>
                <w:sz w:val="17"/>
              </w:rPr>
              <w:t>No meaningful operating control or control fails its objective.</w:t>
            </w:r>
          </w:p>
        </w:tc>
        <w:tc>
          <w:tcPr>
            <w:tcW w:type="dxa" w:w="2880"/>
            <w:vAlign w:val="top"/>
            <w:tcMar>
              <w:top w:w="80" w:type="dxa"/>
              <w:start w:w="80" w:type="dxa"/>
              <w:bottom w:w="80" w:type="dxa"/>
              <w:end w:w="80" w:type="dxa"/>
            </w:tcMar>
          </w:tcPr>
          <w:p>
            <w:r>
              <w:rPr>
                <w:sz w:val="17"/>
              </w:rPr>
              <w:t>No reliable evidence</w:t>
            </w:r>
          </w:p>
        </w:tc>
      </w:tr>
      <w:tr>
        <w:tc>
          <w:tcPr>
            <w:tcW w:type="dxa" w:w="2592"/>
            <w:vAlign w:val="top"/>
            <w:tcMar>
              <w:top w:w="80" w:type="dxa"/>
              <w:start w:w="80" w:type="dxa"/>
              <w:bottom w:w="80" w:type="dxa"/>
              <w:end w:w="80" w:type="dxa"/>
            </w:tcMar>
          </w:tcPr>
          <w:p>
            <w:r>
              <w:rPr>
                <w:sz w:val="17"/>
              </w:rPr>
              <w:t>Weak</w:t>
            </w:r>
          </w:p>
        </w:tc>
        <w:tc>
          <w:tcPr>
            <w:tcW w:type="dxa" w:w="5328"/>
            <w:vAlign w:val="top"/>
            <w:tcMar>
              <w:top w:w="80" w:type="dxa"/>
              <w:start w:w="80" w:type="dxa"/>
              <w:bottom w:w="80" w:type="dxa"/>
              <w:end w:w="80" w:type="dxa"/>
            </w:tcMar>
          </w:tcPr>
          <w:p>
            <w:r>
              <w:rPr>
                <w:sz w:val="17"/>
              </w:rPr>
              <w:t>Ad hoc or incomplete control; material gaps remain.</w:t>
            </w:r>
          </w:p>
        </w:tc>
        <w:tc>
          <w:tcPr>
            <w:tcW w:type="dxa" w:w="2880"/>
            <w:vAlign w:val="top"/>
            <w:tcMar>
              <w:top w:w="80" w:type="dxa"/>
              <w:start w:w="80" w:type="dxa"/>
              <w:bottom w:w="80" w:type="dxa"/>
              <w:end w:w="80" w:type="dxa"/>
            </w:tcMar>
          </w:tcPr>
          <w:p>
            <w:r>
              <w:rPr>
                <w:sz w:val="17"/>
              </w:rPr>
              <w:t>Limited evidence</w:t>
            </w:r>
          </w:p>
        </w:tc>
      </w:tr>
      <w:tr>
        <w:tc>
          <w:tcPr>
            <w:tcW w:type="dxa" w:w="2592"/>
            <w:vAlign w:val="top"/>
            <w:tcMar>
              <w:top w:w="80" w:type="dxa"/>
              <w:start w:w="80" w:type="dxa"/>
              <w:bottom w:w="80" w:type="dxa"/>
              <w:end w:w="80" w:type="dxa"/>
            </w:tcMar>
          </w:tcPr>
          <w:p>
            <w:r>
              <w:rPr>
                <w:sz w:val="17"/>
              </w:rPr>
              <w:t>Partially Effective</w:t>
            </w:r>
          </w:p>
        </w:tc>
        <w:tc>
          <w:tcPr>
            <w:tcW w:type="dxa" w:w="5328"/>
            <w:vAlign w:val="top"/>
            <w:tcMar>
              <w:top w:w="80" w:type="dxa"/>
              <w:start w:w="80" w:type="dxa"/>
              <w:bottom w:w="80" w:type="dxa"/>
              <w:end w:w="80" w:type="dxa"/>
            </w:tcMar>
          </w:tcPr>
          <w:p>
            <w:r>
              <w:rPr>
                <w:sz w:val="17"/>
              </w:rPr>
              <w:t>Control operates but coverage, consistency or testing is incomplete.</w:t>
            </w:r>
          </w:p>
        </w:tc>
        <w:tc>
          <w:tcPr>
            <w:tcW w:type="dxa" w:w="2880"/>
            <w:vAlign w:val="top"/>
            <w:tcMar>
              <w:top w:w="80" w:type="dxa"/>
              <w:start w:w="80" w:type="dxa"/>
              <w:bottom w:w="80" w:type="dxa"/>
              <w:end w:w="80" w:type="dxa"/>
            </w:tcMar>
          </w:tcPr>
          <w:p>
            <w:r>
              <w:rPr>
                <w:sz w:val="17"/>
              </w:rPr>
              <w:t>Some evidence; gaps tracked</w:t>
            </w:r>
          </w:p>
        </w:tc>
      </w:tr>
      <w:tr>
        <w:tc>
          <w:tcPr>
            <w:tcW w:type="dxa" w:w="2592"/>
            <w:vAlign w:val="top"/>
            <w:tcMar>
              <w:top w:w="80" w:type="dxa"/>
              <w:start w:w="80" w:type="dxa"/>
              <w:bottom w:w="80" w:type="dxa"/>
              <w:end w:w="80" w:type="dxa"/>
            </w:tcMar>
          </w:tcPr>
          <w:p>
            <w:r>
              <w:rPr>
                <w:sz w:val="17"/>
              </w:rPr>
              <w:t>Effective</w:t>
            </w:r>
          </w:p>
        </w:tc>
        <w:tc>
          <w:tcPr>
            <w:tcW w:type="dxa" w:w="5328"/>
            <w:vAlign w:val="top"/>
            <w:tcMar>
              <w:top w:w="80" w:type="dxa"/>
              <w:start w:w="80" w:type="dxa"/>
              <w:bottom w:w="80" w:type="dxa"/>
              <w:end w:w="80" w:type="dxa"/>
            </w:tcMar>
          </w:tcPr>
          <w:p>
            <w:r>
              <w:rPr>
                <w:sz w:val="17"/>
              </w:rPr>
              <w:t>Implemented, appropriately designed and operating with supporting evidence.</w:t>
            </w:r>
          </w:p>
        </w:tc>
        <w:tc>
          <w:tcPr>
            <w:tcW w:type="dxa" w:w="2880"/>
            <w:vAlign w:val="top"/>
            <w:tcMar>
              <w:top w:w="80" w:type="dxa"/>
              <w:start w:w="80" w:type="dxa"/>
              <w:bottom w:w="80" w:type="dxa"/>
              <w:end w:w="80" w:type="dxa"/>
            </w:tcMar>
          </w:tcPr>
          <w:p>
            <w:r>
              <w:rPr>
                <w:sz w:val="17"/>
              </w:rPr>
              <w:t>Repeatable evidence</w:t>
            </w:r>
          </w:p>
        </w:tc>
      </w:tr>
      <w:tr>
        <w:tc>
          <w:tcPr>
            <w:tcW w:type="dxa" w:w="2592"/>
            <w:vAlign w:val="top"/>
            <w:tcMar>
              <w:top w:w="80" w:type="dxa"/>
              <w:start w:w="80" w:type="dxa"/>
              <w:bottom w:w="80" w:type="dxa"/>
              <w:end w:w="80" w:type="dxa"/>
            </w:tcMar>
          </w:tcPr>
          <w:p>
            <w:r>
              <w:rPr>
                <w:sz w:val="17"/>
              </w:rPr>
              <w:t>Strong / Verified</w:t>
            </w:r>
          </w:p>
        </w:tc>
        <w:tc>
          <w:tcPr>
            <w:tcW w:type="dxa" w:w="5328"/>
            <w:vAlign w:val="top"/>
            <w:tcMar>
              <w:top w:w="80" w:type="dxa"/>
              <w:start w:w="80" w:type="dxa"/>
              <w:bottom w:w="80" w:type="dxa"/>
              <w:end w:w="80" w:type="dxa"/>
            </w:tcMar>
          </w:tcPr>
          <w:p>
            <w:r>
              <w:rPr>
                <w:sz w:val="17"/>
              </w:rPr>
              <w:t>Effective control plus mature monitoring and independent/second-line verification.</w:t>
            </w:r>
          </w:p>
        </w:tc>
        <w:tc>
          <w:tcPr>
            <w:tcW w:type="dxa" w:w="2880"/>
            <w:vAlign w:val="top"/>
            <w:tcMar>
              <w:top w:w="80" w:type="dxa"/>
              <w:start w:w="80" w:type="dxa"/>
              <w:bottom w:w="80" w:type="dxa"/>
              <w:end w:w="80" w:type="dxa"/>
            </w:tcMar>
          </w:tcPr>
          <w:p>
            <w:r>
              <w:rPr>
                <w:sz w:val="17"/>
              </w:rPr>
              <w:t>High-quality current evidence</w:t>
            </w:r>
          </w:p>
        </w:tc>
      </w:tr>
    </w:tbl>
    <w:p>
      <w:r>
        <w:t>Evidence confidence is recorded as Low, Medium or High. A High/Critical inherent-risk system should not be represented as Low residual risk when the evidence supporting its controls is weak or unverified. This is a governance override rather than a mathematical adjustment.</w:t>
      </w:r>
    </w:p>
    <w:p>
      <w:pPr>
        <w:pStyle w:val="Heading1"/>
      </w:pPr>
      <w:r>
        <w:t>11. Residual risk, target risk and risk treatment</w:t>
      </w:r>
    </w:p>
    <w:p>
      <w:r>
        <w:t>Current residual risk reflects the risk remaining after controls that are actually implemented and operating. Target residual risk is the planned rating after additional treatment and must not be reported as the current state.</w:t>
      </w:r>
    </w:p>
    <w:p>
      <w:pPr>
        <w:pStyle w:val="ListBullet"/>
      </w:pPr>
      <w:r>
        <w:t>Avoid / stop the use case when risk is outside tolerance or the practice is unlawful.</w:t>
      </w:r>
    </w:p>
    <w:p>
      <w:pPr>
        <w:pStyle w:val="ListBullet"/>
      </w:pPr>
      <w:r>
        <w:t>Reduce through technical, organizational, human-oversight, data, security and process controls.</w:t>
      </w:r>
    </w:p>
    <w:p>
      <w:pPr>
        <w:pStyle w:val="ListBullet"/>
      </w:pPr>
      <w:r>
        <w:t>Transfer/share selected financial or contractual exposures where appropriate; accountability is not transferred by contract alone.</w:t>
      </w:r>
    </w:p>
    <w:p>
      <w:pPr>
        <w:pStyle w:val="ListBullet"/>
      </w:pPr>
      <w:r>
        <w:t>Accept within delegated authority when residual risk is within appetite and documented.</w:t>
      </w:r>
    </w:p>
    <w:p>
      <w:pPr>
        <w:pStyle w:val="ListBullet"/>
      </w:pPr>
      <w:r>
        <w:t>Retire/decommission when risk cannot be managed or business value no longer justifies exposure.</w:t>
      </w:r>
    </w:p>
    <w:p>
      <w:pPr>
        <w:pStyle w:val="Heading1"/>
      </w:pPr>
      <w:r>
        <w:t>12. Risk appetite and approval rules</w:t>
      </w:r>
    </w:p>
    <w:p>
      <w:pPr>
        <w:pStyle w:val="ListBullet"/>
      </w:pPr>
      <w:r>
        <w:t>No appetite for prohibited/unlawful AI practices, intentional discrimination, or knowingly bypassing required human authority.</w:t>
      </w:r>
    </w:p>
    <w:p>
      <w:pPr>
        <w:pStyle w:val="ListBullet"/>
      </w:pPr>
      <w:r>
        <w:t>Very low tolerance for unmanaged safety risk, systemic fundamental-rights impact and uncontrolled restricted-data exposure.</w:t>
      </w:r>
    </w:p>
    <w:p>
      <w:pPr>
        <w:pStyle w:val="ListBullet"/>
      </w:pPr>
      <w:r>
        <w:t>High residual risk requires AI Governance Committee approval plus a dated treatment plan and monitoring.</w:t>
      </w:r>
    </w:p>
    <w:p>
      <w:pPr>
        <w:pStyle w:val="ListBullet"/>
      </w:pPr>
      <w:r>
        <w:t>Critical residual risk normally blocks production deployment or requires explicit exceptional executive acceptance with Legal, Risk and Security challenge.</w:t>
      </w:r>
    </w:p>
    <w:p>
      <w:pPr>
        <w:pStyle w:val="ListBullet"/>
      </w:pPr>
      <w:r>
        <w:t>Risk acceptance expires when material assumptions, intended purpose, provider/model, data scope or controls change.</w:t>
      </w:r>
    </w:p>
    <w:p>
      <w:pPr>
        <w:pStyle w:val="Heading1"/>
      </w:pPr>
      <w:r>
        <w:t>13. Review and reassessment triggers</w:t>
      </w:r>
    </w:p>
    <w:p>
      <w:pPr>
        <w:pStyle w:val="ListBullet"/>
      </w:pPr>
      <w:r>
        <w:t>Change in intended purpose, autonomy or decision authority.</w:t>
      </w:r>
    </w:p>
    <w:p>
      <w:pPr>
        <w:pStyle w:val="ListBullet"/>
      </w:pPr>
      <w:r>
        <w:t>New model/provider/version or substantial configuration change.</w:t>
      </w:r>
    </w:p>
    <w:p>
      <w:pPr>
        <w:pStyle w:val="ListBullet"/>
      </w:pPr>
      <w:r>
        <w:t>New data categories, sensitive sources, connectors, APIs or permissions.</w:t>
      </w:r>
    </w:p>
    <w:p>
      <w:pPr>
        <w:pStyle w:val="ListBullet"/>
      </w:pPr>
      <w:r>
        <w:t>Expansion to new users, affected groups, countries or product lines.</w:t>
      </w:r>
    </w:p>
    <w:p>
      <w:pPr>
        <w:pStyle w:val="ListBullet"/>
      </w:pPr>
      <w:r>
        <w:t>Material incident, near miss, complaint, security event or rights challenge.</w:t>
      </w:r>
    </w:p>
    <w:p>
      <w:pPr>
        <w:pStyle w:val="ListBullet"/>
      </w:pPr>
      <w:r>
        <w:t>Drift, performance threshold breach or change in error distribution.</w:t>
      </w:r>
    </w:p>
    <w:p>
      <w:pPr>
        <w:pStyle w:val="ListBullet"/>
      </w:pPr>
      <w:r>
        <w:t>Control failure or evidence expiry.</w:t>
      </w:r>
    </w:p>
    <w:p>
      <w:pPr>
        <w:pStyle w:val="ListBullet"/>
      </w:pPr>
      <w:r>
        <w:t>New or amended legal/regulatory requirement.</w:t>
      </w:r>
    </w:p>
    <w:p>
      <w:pPr>
        <w:pStyle w:val="ListBullet"/>
      </w:pPr>
      <w:r>
        <w:t>Transition between lifecycle gates, especially pilot → production.</w:t>
      </w:r>
    </w:p>
    <w:p>
      <w:pPr>
        <w:pStyle w:val="Heading1"/>
      </w:pPr>
      <w:r>
        <w:t>14. Minimum assessment record</w:t>
      </w:r>
    </w:p>
    <w:p>
      <w:pPr>
        <w:pStyle w:val="ListBullet"/>
      </w:pPr>
      <w:r>
        <w:t>AI ID and intended purpose</w:t>
      </w:r>
    </w:p>
    <w:p>
      <w:pPr>
        <w:pStyle w:val="ListBullet"/>
      </w:pPr>
      <w:r>
        <w:t>Business/technical/data owners</w:t>
      </w:r>
    </w:p>
    <w:p>
      <w:pPr>
        <w:pStyle w:val="ListBullet"/>
      </w:pPr>
      <w:r>
        <w:t>Lifecycle and deployment context</w:t>
      </w:r>
    </w:p>
    <w:p>
      <w:pPr>
        <w:pStyle w:val="ListBullet"/>
      </w:pPr>
      <w:r>
        <w:t>Users and affected persons</w:t>
      </w:r>
    </w:p>
    <w:p>
      <w:pPr>
        <w:pStyle w:val="ListBullet"/>
      </w:pPr>
      <w:r>
        <w:t>Data and integrations</w:t>
      </w:r>
    </w:p>
    <w:p>
      <w:pPr>
        <w:pStyle w:val="ListBullet"/>
      </w:pPr>
      <w:r>
        <w:t>Preliminary legal/regulatory classification</w:t>
      </w:r>
    </w:p>
    <w:p>
      <w:pPr>
        <w:pStyle w:val="ListBullet"/>
      </w:pPr>
      <w:r>
        <w:t>Material risk scenarios by domain</w:t>
      </w:r>
    </w:p>
    <w:p>
      <w:pPr>
        <w:pStyle w:val="ListBullet"/>
      </w:pPr>
      <w:r>
        <w:t>Inherent severity/likelihood/score</w:t>
      </w:r>
    </w:p>
    <w:p>
      <w:pPr>
        <w:pStyle w:val="ListBullet"/>
      </w:pPr>
      <w:r>
        <w:t>Implemented controls and evidence</w:t>
      </w:r>
    </w:p>
    <w:p>
      <w:pPr>
        <w:pStyle w:val="ListBullet"/>
      </w:pPr>
      <w:r>
        <w:t>Control effectiveness and evidence confidence</w:t>
      </w:r>
    </w:p>
    <w:p>
      <w:pPr>
        <w:pStyle w:val="ListBullet"/>
      </w:pPr>
      <w:r>
        <w:t>Residual severity/likelihood/score</w:t>
      </w:r>
    </w:p>
    <w:p>
      <w:pPr>
        <w:pStyle w:val="ListBullet"/>
      </w:pPr>
      <w:r>
        <w:t>Target controls and target residual risk</w:t>
      </w:r>
    </w:p>
    <w:p>
      <w:pPr>
        <w:pStyle w:val="ListBullet"/>
      </w:pPr>
      <w:r>
        <w:t>Risk owner and approval authority</w:t>
      </w:r>
    </w:p>
    <w:p>
      <w:pPr>
        <w:pStyle w:val="ListBullet"/>
      </w:pPr>
      <w:r>
        <w:t>KPIs/KRIs and monitoring cadence</w:t>
      </w:r>
    </w:p>
    <w:p>
      <w:pPr>
        <w:pStyle w:val="ListBullet"/>
      </w:pPr>
      <w:r>
        <w:t>Review triggers and next assessment date</w:t>
      </w:r>
    </w:p>
    <w:p>
      <w:pPr>
        <w:pStyle w:val="Heading1"/>
      </w:pPr>
      <w:r>
        <w:t>15. References</w:t>
      </w:r>
    </w:p>
    <w:p>
      <w:r>
        <w:t xml:space="preserve">1. NIST, Artificial Intelligence Risk Management Framework (AI RMF 1.0): </w:t>
      </w:r>
      <w:hyperlink r:id="rId11">
        <w:r>
          <w:rPr>
            <w:color w:val="0563C1"/>
            <w:u w:val="single"/>
          </w:rPr>
          <w:t>https://nvlpubs.nist.gov/nistpubs/ai/nist.ai.100-1.pdf</w:t>
        </w:r>
      </w:hyperlink>
    </w:p>
    <w:p>
      <w:r>
        <w:t xml:space="preserve">2. NIST AI Resource Center, AI RMF Playbook: </w:t>
      </w:r>
      <w:hyperlink r:id="rId12">
        <w:r>
          <w:rPr>
            <w:color w:val="0563C1"/>
            <w:u w:val="single"/>
          </w:rPr>
          <w:t>https://airc.nist.gov/airmf-resources/playbook/</w:t>
        </w:r>
      </w:hyperlink>
    </w:p>
    <w:p>
      <w:r>
        <w:t xml:space="preserve">3. ISO/IEC 42001:2023 — Artificial intelligence — Management system: </w:t>
      </w:r>
      <w:hyperlink r:id="rId13">
        <w:r>
          <w:rPr>
            <w:color w:val="0563C1"/>
            <w:u w:val="single"/>
          </w:rPr>
          <w:t>https://www.iso.org/standard/42001</w:t>
        </w:r>
      </w:hyperlink>
    </w:p>
    <w:p>
      <w:r>
        <w:t xml:space="preserve">4. ISO/IEC 23894:2023 — Artificial intelligence — Guidance on risk management: </w:t>
      </w:r>
      <w:hyperlink r:id="rId14">
        <w:r>
          <w:rPr>
            <w:color w:val="0563C1"/>
            <w:u w:val="single"/>
          </w:rPr>
          <w:t>https://www.iso.org/standard/77304.html</w:t>
        </w:r>
      </w:hyperlink>
    </w:p>
    <w:p>
      <w:r>
        <w:t xml:space="preserve">5. ISO/IEC 42005:2025 — Artificial intelligence — AI system impact assessment: </w:t>
      </w:r>
      <w:hyperlink r:id="rId15">
        <w:r>
          <w:rPr>
            <w:color w:val="0563C1"/>
            <w:u w:val="single"/>
          </w:rPr>
          <w:t>https://www.iso.org/standard/42005</w:t>
        </w:r>
      </w:hyperlink>
    </w:p>
    <w:p>
      <w:r>
        <w:t xml:space="preserve">6. EU Artificial Intelligence Act — consolidated text as of 27 July 2026: </w:t>
      </w:r>
      <w:hyperlink r:id="rId16">
        <w:r>
          <w:rPr>
            <w:color w:val="0563C1"/>
            <w:u w:val="single"/>
          </w:rPr>
          <w:t>https://eur-lex.europa.eu/legal-content/EN/TXT/HTML/?uri=CELEX:02024R1689-20260727</w:t>
        </w:r>
      </w:hyperlink>
    </w:p>
    <w:p>
      <w:r>
        <w:t xml:space="preserve">7. Regulation (EU) 2026/1744 — Digital Omnibus on AI: </w:t>
      </w:r>
      <w:hyperlink r:id="rId17">
        <w:r>
          <w:rPr>
            <w:color w:val="0563C1"/>
            <w:u w:val="single"/>
          </w:rPr>
          <w:t>https://eur-lex.europa.eu/eli/reg/2026/1744/oj/eng</w:t>
        </w:r>
      </w:hyperlink>
    </w:p>
    <w:p>
      <w:r>
        <w:t>Note: ISO standards are copyrighted publications. This portfolio document references their public descriptions and does not reproduce the standards.</w:t>
      </w:r>
    </w:p>
    <w:sectPr>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Fictional organization and synthetic data  |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DUCKWORKS  |  AI GOVERNANCE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243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vlpubs.nist.gov/nistpubs/ai/nist.ai.100-1.pdf" TargetMode="External"/><Relationship Id="rId12" Type="http://schemas.openxmlformats.org/officeDocument/2006/relationships/hyperlink" Target="https://airc.nist.gov/airmf-resources/playbook/" TargetMode="External"/><Relationship Id="rId13" Type="http://schemas.openxmlformats.org/officeDocument/2006/relationships/hyperlink" Target="https://www.iso.org/standard/42001" TargetMode="External"/><Relationship Id="rId14" Type="http://schemas.openxmlformats.org/officeDocument/2006/relationships/hyperlink" Target="https://www.iso.org/standard/77304.html" TargetMode="External"/><Relationship Id="rId15" Type="http://schemas.openxmlformats.org/officeDocument/2006/relationships/hyperlink" Target="https://www.iso.org/standard/42005" TargetMode="External"/><Relationship Id="rId16" Type="http://schemas.openxmlformats.org/officeDocument/2006/relationships/hyperlink" Target="https://eur-lex.europa.eu/legal-content/EN/TXT/HTML/?uri=CELEX:02024R1689-20260727" TargetMode="External"/><Relationship Id="rId17" Type="http://schemas.openxmlformats.org/officeDocument/2006/relationships/hyperlink" Target="https://eur-lex.europa.eu/eli/reg/2026/1744/oj/e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