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Display" w:hAnsi="Aptos Display"/>
          <w:b/>
          <w:color w:val="2D6F6D"/>
          <w:sz w:val="32"/>
        </w:rPr>
        <w:t>DUCKWORKS</w:t>
      </w:r>
    </w:p>
    <w:p>
      <w:pPr>
        <w:pStyle w:val="Title"/>
      </w:pPr>
      <w:r>
        <w:t>AI Ethical Impact Assessment</w:t>
      </w:r>
    </w:p>
    <w:p>
      <w:pPr>
        <w:spacing w:after="280"/>
      </w:pPr>
      <w:r>
        <w:rPr>
          <w:color w:val="27343E"/>
          <w:sz w:val="24"/>
        </w:rPr>
        <w:t>Portfolio assessment of Project W.I.N.G. AI systems against human-centred, fairness, transparency, safety, privacy, well-being and accountability principles</w:t>
      </w:r>
    </w:p>
    <w:tbl>
      <w:tblPr>
        <w:tblW w:type="auto" w:w="0"/>
        <w:jc w:val="center"/>
        <w:tblLook w:firstColumn="1" w:firstRow="1" w:lastColumn="0" w:lastRow="0" w:noHBand="0" w:noVBand="1" w:val="04A0"/>
      </w:tblPr>
      <w:tblGrid>
        <w:gridCol w:w="10224"/>
      </w:tblGrid>
      <w:tr>
        <w:tc>
          <w:tcPr>
            <w:tcW w:type="dxa" w:w="10224"/>
            <w:shd w:fill="E4F0EF"/>
            <w:tcMar>
              <w:top w:w="120" w:type="dxa"/>
              <w:start w:w="140" w:type="dxa"/>
              <w:bottom w:w="120" w:type="dxa"/>
              <w:end w:w="140" w:type="dxa"/>
            </w:tcMar>
            <w:tcBorders>
              <w:left w:val="single" w:sz="18" w:color="2D6F6D"/>
            </w:tcBorders>
          </w:tcPr>
          <w:p>
            <w:pPr>
              <w:spacing w:after="60"/>
            </w:pPr>
            <w:r>
              <w:rPr>
                <w:b/>
                <w:color w:val="173B57"/>
                <w:sz w:val="20"/>
              </w:rPr>
              <w:t>Assessment purpose</w:t>
            </w:r>
          </w:p>
          <w:p>
            <w:pPr>
              <w:spacing w:after="0"/>
            </w:pPr>
            <w:r>
              <w:rPr>
                <w:color w:val="27343E"/>
                <w:sz w:val="18"/>
              </w:rPr>
              <w:t>This document evaluates the ethical implications of Duckworks' seven baseline AI entries. It complements the existing AI Impact Assessments, enterprise risk assessments, privacy assessments, fundamental-rights analysis, security reviews and legal triage. It does not replace any of them and does not convert voluntary ethical guidance into legal requirements.</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tcMar>
              <w:top w:w="70" w:type="dxa"/>
              <w:start w:w="85" w:type="dxa"/>
              <w:bottom w:w="70" w:type="dxa"/>
              <w:end w:w="85" w:type="dxa"/>
            </w:tcMar>
            <w:shd w:fill="173B57"/>
          </w:tcPr>
          <w:p>
            <w:pPr>
              <w:spacing w:before="0" w:after="0"/>
            </w:pPr>
            <w:r/>
            <w:r>
              <w:rPr>
                <w:rFonts w:ascii="Aptos" w:hAnsi="Aptos"/>
                <w:b/>
                <w:color w:val="FFFFFF"/>
                <w:sz w:val="17"/>
              </w:rPr>
              <w:t>Field</w:t>
            </w:r>
          </w:p>
        </w:tc>
        <w:tc>
          <w:tcPr>
            <w:tcW w:type="dxa" w:w="6768"/>
            <w:vAlign w:val="center"/>
            <w:tcMar>
              <w:top w:w="70" w:type="dxa"/>
              <w:start w:w="85" w:type="dxa"/>
              <w:bottom w:w="70" w:type="dxa"/>
              <w:end w:w="85" w:type="dxa"/>
            </w:tcMar>
            <w:shd w:fill="173B57"/>
          </w:tcPr>
          <w:p>
            <w:pPr>
              <w:spacing w:before="0" w:after="0"/>
            </w:pPr>
            <w:r/>
            <w:r>
              <w:rPr>
                <w:rFonts w:ascii="Aptos" w:hAnsi="Aptos"/>
                <w:b/>
                <w:color w:val="FFFFFF"/>
                <w:sz w:val="17"/>
              </w:rPr>
              <w:t>Value</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7"/>
              </w:rPr>
              <w:t>Document ID</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7"/>
              </w:rPr>
              <w:t>DW-WING-ETH-01</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7"/>
              </w:rPr>
              <w:t>Version</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7"/>
              </w:rPr>
              <w:t>1.0</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7"/>
              </w:rPr>
              <w:t>Status</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7"/>
              </w:rPr>
              <w:t>Portfolio Baseline</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7"/>
              </w:rPr>
              <w:t>Organization</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7"/>
              </w:rPr>
              <w:t>Duckworks (fictional)</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7"/>
              </w:rPr>
              <w:t>Assessment owner</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7"/>
              </w:rPr>
              <w:t>Eleanor Duckford — AI Governance Lead</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7"/>
              </w:rPr>
              <w:t>Governance sponsor</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7"/>
              </w:rPr>
              <w:t>Reginald Duckman — Chief Risk &amp; Compliance Officer</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7"/>
              </w:rPr>
              <w:t>Scope</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7"/>
              </w:rPr>
              <w:t>AI-001 through AI-007</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7"/>
              </w:rPr>
              <w:t>Classification</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7"/>
              </w:rPr>
              <w:t>Portfolio / Synthetic / Non-production</w:t>
            </w:r>
          </w:p>
        </w:tc>
      </w:tr>
    </w:tbl>
    <w:p>
      <w:pPr>
        <w:spacing w:after="0"/>
      </w:pPr>
    </w:p>
    <w:tbl>
      <w:tblPr>
        <w:tblW w:type="auto" w:w="0"/>
        <w:jc w:val="center"/>
        <w:tblLook w:firstColumn="1" w:firstRow="1" w:lastColumn="0" w:lastRow="0" w:noHBand="0" w:noVBand="1" w:val="04A0"/>
      </w:tblPr>
      <w:tblGrid>
        <w:gridCol w:w="10224"/>
      </w:tblGrid>
      <w:tr>
        <w:tc>
          <w:tcPr>
            <w:tcW w:type="dxa" w:w="10224"/>
            <w:shd w:fill="EAF1F6"/>
            <w:tcMar>
              <w:top w:w="120" w:type="dxa"/>
              <w:start w:w="140" w:type="dxa"/>
              <w:bottom w:w="120" w:type="dxa"/>
              <w:end w:w="140" w:type="dxa"/>
            </w:tcMar>
            <w:tcBorders>
              <w:left w:val="single" w:sz="18" w:color="2D6F6D"/>
            </w:tcBorders>
          </w:tcPr>
          <w:p>
            <w:pPr>
              <w:spacing w:after="60"/>
            </w:pPr>
            <w:r>
              <w:rPr>
                <w:b/>
                <w:color w:val="173B57"/>
                <w:sz w:val="20"/>
              </w:rPr>
              <w:t>Ethical posture</w:t>
            </w:r>
          </w:p>
          <w:p>
            <w:pPr>
              <w:spacing w:after="0"/>
            </w:pPr>
            <w:r>
              <w:rPr>
                <w:color w:val="27343E"/>
                <w:sz w:val="18"/>
              </w:rPr>
              <w:t>The assessment uses ethics as a decision discipline: identify who benefits, who bears risk, where power or information asymmetry exists, whether people retain meaningful agency, whether impacts can be challenged or remedied, and whether the organization can justify and evidence the trade-offs it accepts.</w:t>
            </w:r>
          </w:p>
        </w:tc>
      </w:tr>
    </w:tbl>
    <w:p>
      <w:pPr>
        <w:spacing w:after="0"/>
      </w:pPr>
    </w:p>
    <w:p>
      <w:r>
        <w:br w:type="page"/>
      </w:r>
    </w:p>
    <w:p>
      <w:pPr>
        <w:pStyle w:val="Heading1"/>
      </w:pPr>
      <w:r>
        <w:t>1. Executive Determination</w:t>
      </w:r>
    </w:p>
    <w:p>
      <w:pPr>
        <w:spacing w:after="100" w:line="247" w:lineRule="auto"/>
      </w:pPr>
      <w:r>
        <w:t>Duckworks' AI portfolio contains materially different ethical profiles. The most serious ethical concerns arise where AI can affect access to employment, physical/product safety, confidentiality, privacy, or consequential decisions; where affected people have limited ability to understand or challenge outcomes; or where ownership and accountability are missing.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936"/>
            <w:vAlign w:val="center"/>
            <w:tcMar>
              <w:top w:w="70" w:type="dxa"/>
              <w:start w:w="85" w:type="dxa"/>
              <w:bottom w:w="70" w:type="dxa"/>
              <w:end w:w="85" w:type="dxa"/>
            </w:tcMar>
            <w:shd w:fill="173B57"/>
          </w:tcPr>
          <w:p>
            <w:pPr>
              <w:spacing w:before="0" w:after="0"/>
            </w:pPr>
            <w:r/>
            <w:r>
              <w:rPr>
                <w:rFonts w:ascii="Aptos" w:hAnsi="Aptos"/>
                <w:b/>
                <w:color w:val="FFFFFF"/>
                <w:sz w:val="14"/>
              </w:rPr>
              <w:t>ID</w:t>
            </w:r>
          </w:p>
        </w:tc>
        <w:tc>
          <w:tcPr>
            <w:tcW w:type="dxa" w:w="1800"/>
            <w:vAlign w:val="center"/>
            <w:tcMar>
              <w:top w:w="70" w:type="dxa"/>
              <w:start w:w="85" w:type="dxa"/>
              <w:bottom w:w="70" w:type="dxa"/>
              <w:end w:w="85" w:type="dxa"/>
            </w:tcMar>
            <w:shd w:fill="173B57"/>
          </w:tcPr>
          <w:p>
            <w:pPr>
              <w:spacing w:before="0" w:after="0"/>
            </w:pPr>
            <w:r/>
            <w:r>
              <w:rPr>
                <w:rFonts w:ascii="Aptos" w:hAnsi="Aptos"/>
                <w:b/>
                <w:color w:val="FFFFFF"/>
                <w:sz w:val="14"/>
              </w:rPr>
              <w:t>System</w:t>
            </w:r>
          </w:p>
        </w:tc>
        <w:tc>
          <w:tcPr>
            <w:tcW w:type="dxa" w:w="1512"/>
            <w:vAlign w:val="center"/>
            <w:tcMar>
              <w:top w:w="70" w:type="dxa"/>
              <w:start w:w="85" w:type="dxa"/>
              <w:bottom w:w="70" w:type="dxa"/>
              <w:end w:w="85" w:type="dxa"/>
            </w:tcMar>
            <w:shd w:fill="173B57"/>
          </w:tcPr>
          <w:p>
            <w:pPr>
              <w:spacing w:before="0" w:after="0"/>
            </w:pPr>
            <w:r/>
            <w:r>
              <w:rPr>
                <w:rFonts w:ascii="Aptos" w:hAnsi="Aptos"/>
                <w:b/>
                <w:color w:val="FFFFFF"/>
                <w:sz w:val="14"/>
              </w:rPr>
              <w:t>Ethical priority</w:t>
            </w:r>
          </w:p>
        </w:tc>
        <w:tc>
          <w:tcPr>
            <w:tcW w:type="dxa" w:w="2448"/>
            <w:vAlign w:val="center"/>
            <w:tcMar>
              <w:top w:w="70" w:type="dxa"/>
              <w:start w:w="85" w:type="dxa"/>
              <w:bottom w:w="70" w:type="dxa"/>
              <w:end w:w="85" w:type="dxa"/>
            </w:tcMar>
            <w:shd w:fill="173B57"/>
          </w:tcPr>
          <w:p>
            <w:pPr>
              <w:spacing w:before="0" w:after="0"/>
            </w:pPr>
            <w:r/>
            <w:r>
              <w:rPr>
                <w:rFonts w:ascii="Aptos" w:hAnsi="Aptos"/>
                <w:b/>
                <w:color w:val="FFFFFF"/>
                <w:sz w:val="14"/>
              </w:rPr>
              <w:t>Current decision</w:t>
            </w:r>
          </w:p>
        </w:tc>
        <w:tc>
          <w:tcPr>
            <w:tcW w:type="dxa" w:w="3168"/>
            <w:vAlign w:val="center"/>
            <w:tcMar>
              <w:top w:w="70" w:type="dxa"/>
              <w:start w:w="85" w:type="dxa"/>
              <w:bottom w:w="70" w:type="dxa"/>
              <w:end w:w="85" w:type="dxa"/>
            </w:tcMar>
            <w:shd w:fill="173B57"/>
          </w:tcPr>
          <w:p>
            <w:pPr>
              <w:spacing w:before="0" w:after="0"/>
            </w:pPr>
            <w:r/>
            <w:r>
              <w:rPr>
                <w:rFonts w:ascii="Aptos" w:hAnsi="Aptos"/>
                <w:b/>
                <w:color w:val="FFFFFF"/>
                <w:sz w:val="14"/>
              </w:rPr>
              <w:t>Primary ethical focus</w:t>
            </w:r>
          </w:p>
        </w:tc>
      </w:tr>
      <w:tr>
        <w:tc>
          <w:tcPr>
            <w:tcW w:type="dxa" w:w="936"/>
            <w:vAlign w:val="center"/>
            <w:tcMar>
              <w:top w:w="70" w:type="dxa"/>
              <w:start w:w="85" w:type="dxa"/>
              <w:bottom w:w="70" w:type="dxa"/>
              <w:end w:w="85" w:type="dxa"/>
            </w:tcMar>
          </w:tcPr>
          <w:p>
            <w:pPr>
              <w:spacing w:before="0" w:after="0"/>
            </w:pPr>
            <w:r/>
            <w:r>
              <w:rPr>
                <w:rFonts w:ascii="Aptos" w:hAnsi="Aptos"/>
                <w:b w:val="0"/>
                <w:color w:val="27343E"/>
                <w:sz w:val="14"/>
              </w:rPr>
              <w:t>AI-001</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4"/>
              </w:rPr>
              <w:t>DuckDesign AI</w:t>
            </w:r>
          </w:p>
        </w:tc>
        <w:tc>
          <w:tcPr>
            <w:tcW w:type="dxa" w:w="1512"/>
            <w:vAlign w:val="center"/>
            <w:tcMar>
              <w:top w:w="70" w:type="dxa"/>
              <w:start w:w="85" w:type="dxa"/>
              <w:bottom w:w="70" w:type="dxa"/>
              <w:end w:w="85" w:type="dxa"/>
            </w:tcMar>
          </w:tcPr>
          <w:p>
            <w:pPr>
              <w:spacing w:before="0" w:after="0"/>
            </w:pPr>
            <w:r/>
            <w:r>
              <w:rPr>
                <w:rFonts w:ascii="Aptos" w:hAnsi="Aptos"/>
                <w:b w:val="0"/>
                <w:color w:val="27343E"/>
                <w:sz w:val="14"/>
              </w:rPr>
              <w:t>E3 — Significant</w:t>
            </w:r>
          </w:p>
        </w:tc>
        <w:tc>
          <w:tcPr>
            <w:tcW w:type="dxa" w:w="2448"/>
            <w:vAlign w:val="center"/>
            <w:tcMar>
              <w:top w:w="70" w:type="dxa"/>
              <w:start w:w="85" w:type="dxa"/>
              <w:bottom w:w="70" w:type="dxa"/>
              <w:end w:w="85" w:type="dxa"/>
            </w:tcMar>
          </w:tcPr>
          <w:p>
            <w:pPr>
              <w:spacing w:before="0" w:after="0"/>
            </w:pPr>
            <w:r/>
            <w:r>
              <w:rPr>
                <w:rFonts w:ascii="Aptos" w:hAnsi="Aptos"/>
                <w:b w:val="0"/>
                <w:color w:val="27343E"/>
                <w:sz w:val="14"/>
              </w:rPr>
              <w:t>Restricted pilot only</w:t>
            </w:r>
          </w:p>
        </w:tc>
        <w:tc>
          <w:tcPr>
            <w:tcW w:type="dxa" w:w="3168"/>
            <w:vAlign w:val="center"/>
            <w:tcMar>
              <w:top w:w="70" w:type="dxa"/>
              <w:start w:w="85" w:type="dxa"/>
              <w:bottom w:w="70" w:type="dxa"/>
              <w:end w:w="85" w:type="dxa"/>
            </w:tcMar>
          </w:tcPr>
          <w:p>
            <w:pPr>
              <w:spacing w:before="0" w:after="0"/>
            </w:pPr>
            <w:r/>
            <w:r>
              <w:rPr>
                <w:rFonts w:ascii="Aptos" w:hAnsi="Aptos"/>
                <w:b w:val="0"/>
                <w:color w:val="27343E"/>
                <w:sz w:val="14"/>
              </w:rPr>
              <w:t>Product safety, engineer agency, over-reliance, IP/confidentiality, traceability</w:t>
            </w:r>
          </w:p>
        </w:tc>
      </w:tr>
      <w:tr>
        <w:tc>
          <w:tcPr>
            <w:tcW w:type="dxa" w:w="936"/>
            <w:vAlign w:val="center"/>
            <w:tcMar>
              <w:top w:w="70" w:type="dxa"/>
              <w:start w:w="85" w:type="dxa"/>
              <w:bottom w:w="70" w:type="dxa"/>
              <w:end w:w="85" w:type="dxa"/>
            </w:tcMar>
            <w:shd w:fill="F4F6F7"/>
          </w:tcPr>
          <w:p>
            <w:pPr>
              <w:spacing w:before="0" w:after="0"/>
            </w:pPr>
            <w:r/>
            <w:r>
              <w:rPr>
                <w:rFonts w:ascii="Aptos" w:hAnsi="Aptos"/>
                <w:b w:val="0"/>
                <w:color w:val="27343E"/>
                <w:sz w:val="14"/>
              </w:rPr>
              <w:t>AI-002</w:t>
            </w:r>
          </w:p>
        </w:tc>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4"/>
              </w:rPr>
              <w:t>QuackBot</w:t>
            </w:r>
          </w:p>
        </w:tc>
        <w:tc>
          <w:tcPr>
            <w:tcW w:type="dxa" w:w="1512"/>
            <w:vAlign w:val="center"/>
            <w:tcMar>
              <w:top w:w="70" w:type="dxa"/>
              <w:start w:w="85" w:type="dxa"/>
              <w:bottom w:w="70" w:type="dxa"/>
              <w:end w:w="85" w:type="dxa"/>
            </w:tcMar>
            <w:shd w:fill="F4F6F7"/>
          </w:tcPr>
          <w:p>
            <w:pPr>
              <w:spacing w:before="0" w:after="0"/>
            </w:pPr>
            <w:r/>
            <w:r>
              <w:rPr>
                <w:rFonts w:ascii="Aptos" w:hAnsi="Aptos"/>
                <w:b w:val="0"/>
                <w:color w:val="27343E"/>
                <w:sz w:val="14"/>
              </w:rPr>
              <w:t>E3 — Significant</w:t>
            </w:r>
          </w:p>
        </w:tc>
        <w:tc>
          <w:tcPr>
            <w:tcW w:type="dxa" w:w="2448"/>
            <w:vAlign w:val="center"/>
            <w:tcMar>
              <w:top w:w="70" w:type="dxa"/>
              <w:start w:w="85" w:type="dxa"/>
              <w:bottom w:w="70" w:type="dxa"/>
              <w:end w:w="85" w:type="dxa"/>
            </w:tcMar>
            <w:shd w:fill="F4F6F7"/>
          </w:tcPr>
          <w:p>
            <w:pPr>
              <w:spacing w:before="0" w:after="0"/>
            </w:pPr>
            <w:r/>
            <w:r>
              <w:rPr>
                <w:rFonts w:ascii="Aptos" w:hAnsi="Aptos"/>
                <w:b w:val="0"/>
                <w:color w:val="27343E"/>
                <w:sz w:val="14"/>
              </w:rPr>
              <w:t>Production blocked pending gates</w:t>
            </w:r>
          </w:p>
        </w:tc>
        <w:tc>
          <w:tcPr>
            <w:tcW w:type="dxa" w:w="3168"/>
            <w:vAlign w:val="center"/>
            <w:tcMar>
              <w:top w:w="70" w:type="dxa"/>
              <w:start w:w="85" w:type="dxa"/>
              <w:bottom w:w="70" w:type="dxa"/>
              <w:end w:w="85" w:type="dxa"/>
            </w:tcMar>
            <w:shd w:fill="F4F6F7"/>
          </w:tcPr>
          <w:p>
            <w:pPr>
              <w:spacing w:before="0" w:after="0"/>
            </w:pPr>
            <w:r/>
            <w:r>
              <w:rPr>
                <w:rFonts w:ascii="Aptos" w:hAnsi="Aptos"/>
                <w:b w:val="0"/>
                <w:color w:val="27343E"/>
                <w:sz w:val="14"/>
              </w:rPr>
              <w:t>Customer reliance, safety-adjacent advice, transparency, privacy, accessibility, contestability</w:t>
            </w:r>
          </w:p>
        </w:tc>
      </w:tr>
      <w:tr>
        <w:tc>
          <w:tcPr>
            <w:tcW w:type="dxa" w:w="936"/>
            <w:vAlign w:val="center"/>
            <w:tcMar>
              <w:top w:w="70" w:type="dxa"/>
              <w:start w:w="85" w:type="dxa"/>
              <w:bottom w:w="70" w:type="dxa"/>
              <w:end w:w="85" w:type="dxa"/>
            </w:tcMar>
          </w:tcPr>
          <w:p>
            <w:pPr>
              <w:spacing w:before="0" w:after="0"/>
            </w:pPr>
            <w:r/>
            <w:r>
              <w:rPr>
                <w:rFonts w:ascii="Aptos" w:hAnsi="Aptos"/>
                <w:b w:val="0"/>
                <w:color w:val="27343E"/>
                <w:sz w:val="14"/>
              </w:rPr>
              <w:t>AI-003</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4"/>
              </w:rPr>
              <w:t>FeatherForecast</w:t>
            </w:r>
          </w:p>
        </w:tc>
        <w:tc>
          <w:tcPr>
            <w:tcW w:type="dxa" w:w="1512"/>
            <w:vAlign w:val="center"/>
            <w:tcMar>
              <w:top w:w="70" w:type="dxa"/>
              <w:start w:w="85" w:type="dxa"/>
              <w:bottom w:w="70" w:type="dxa"/>
              <w:end w:w="85" w:type="dxa"/>
            </w:tcMar>
          </w:tcPr>
          <w:p>
            <w:pPr>
              <w:spacing w:before="0" w:after="0"/>
            </w:pPr>
            <w:r/>
            <w:r>
              <w:rPr>
                <w:rFonts w:ascii="Aptos" w:hAnsi="Aptos"/>
                <w:b w:val="0"/>
                <w:color w:val="27343E"/>
                <w:sz w:val="14"/>
              </w:rPr>
              <w:t>E2 — Material</w:t>
            </w:r>
          </w:p>
        </w:tc>
        <w:tc>
          <w:tcPr>
            <w:tcW w:type="dxa" w:w="2448"/>
            <w:vAlign w:val="center"/>
            <w:tcMar>
              <w:top w:w="70" w:type="dxa"/>
              <w:start w:w="85" w:type="dxa"/>
              <w:bottom w:w="70" w:type="dxa"/>
              <w:end w:w="85" w:type="dxa"/>
            </w:tcMar>
          </w:tcPr>
          <w:p>
            <w:pPr>
              <w:spacing w:before="0" w:after="0"/>
            </w:pPr>
            <w:r/>
            <w:r>
              <w:rPr>
                <w:rFonts w:ascii="Aptos" w:hAnsi="Aptos"/>
                <w:b w:val="0"/>
                <w:color w:val="27343E"/>
                <w:sz w:val="14"/>
              </w:rPr>
              <w:t>Continue with monitoring</w:t>
            </w:r>
          </w:p>
        </w:tc>
        <w:tc>
          <w:tcPr>
            <w:tcW w:type="dxa" w:w="3168"/>
            <w:vAlign w:val="center"/>
            <w:tcMar>
              <w:top w:w="70" w:type="dxa"/>
              <w:start w:w="85" w:type="dxa"/>
              <w:bottom w:w="70" w:type="dxa"/>
              <w:end w:w="85" w:type="dxa"/>
            </w:tcMar>
          </w:tcPr>
          <w:p>
            <w:pPr>
              <w:spacing w:before="0" w:after="0"/>
            </w:pPr>
            <w:r/>
            <w:r>
              <w:rPr>
                <w:rFonts w:ascii="Aptos" w:hAnsi="Aptos"/>
                <w:b w:val="0"/>
                <w:color w:val="27343E"/>
                <w:sz w:val="14"/>
              </w:rPr>
              <w:t>Operational dependence, supplier fairness, workforce effects, explainability, sustainability trade-offs</w:t>
            </w:r>
          </w:p>
        </w:tc>
      </w:tr>
      <w:tr>
        <w:tc>
          <w:tcPr>
            <w:tcW w:type="dxa" w:w="936"/>
            <w:vAlign w:val="center"/>
            <w:tcMar>
              <w:top w:w="70" w:type="dxa"/>
              <w:start w:w="85" w:type="dxa"/>
              <w:bottom w:w="70" w:type="dxa"/>
              <w:end w:w="85" w:type="dxa"/>
            </w:tcMar>
            <w:shd w:fill="F4F6F7"/>
          </w:tcPr>
          <w:p>
            <w:pPr>
              <w:spacing w:before="0" w:after="0"/>
            </w:pPr>
            <w:r/>
            <w:r>
              <w:rPr>
                <w:rFonts w:ascii="Aptos" w:hAnsi="Aptos"/>
                <w:b w:val="0"/>
                <w:color w:val="27343E"/>
                <w:sz w:val="14"/>
              </w:rPr>
              <w:t>AI-004</w:t>
            </w:r>
          </w:p>
        </w:tc>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4"/>
              </w:rPr>
              <w:t>WingInspect Vision</w:t>
            </w:r>
          </w:p>
        </w:tc>
        <w:tc>
          <w:tcPr>
            <w:tcW w:type="dxa" w:w="1512"/>
            <w:vAlign w:val="center"/>
            <w:tcMar>
              <w:top w:w="70" w:type="dxa"/>
              <w:start w:w="85" w:type="dxa"/>
              <w:bottom w:w="70" w:type="dxa"/>
              <w:end w:w="85" w:type="dxa"/>
            </w:tcMar>
            <w:shd w:fill="F4F6F7"/>
          </w:tcPr>
          <w:p>
            <w:pPr>
              <w:spacing w:before="0" w:after="0"/>
            </w:pPr>
            <w:r/>
            <w:r>
              <w:rPr>
                <w:rFonts w:ascii="Aptos" w:hAnsi="Aptos"/>
                <w:b w:val="0"/>
                <w:color w:val="27343E"/>
                <w:sz w:val="14"/>
              </w:rPr>
              <w:t>E3 — Significant</w:t>
            </w:r>
          </w:p>
        </w:tc>
        <w:tc>
          <w:tcPr>
            <w:tcW w:type="dxa" w:w="2448"/>
            <w:vAlign w:val="center"/>
            <w:tcMar>
              <w:top w:w="70" w:type="dxa"/>
              <w:start w:w="85" w:type="dxa"/>
              <w:bottom w:w="70" w:type="dxa"/>
              <w:end w:w="85" w:type="dxa"/>
            </w:tcMar>
            <w:shd w:fill="F4F6F7"/>
          </w:tcPr>
          <w:p>
            <w:pPr>
              <w:spacing w:before="0" w:after="0"/>
            </w:pPr>
            <w:r/>
            <w:r>
              <w:rPr>
                <w:rFonts w:ascii="Aptos" w:hAnsi="Aptos"/>
                <w:b w:val="0"/>
                <w:color w:val="27343E"/>
                <w:sz w:val="14"/>
              </w:rPr>
              <w:t>Restricted pilot; no safety-critical release</w:t>
            </w:r>
          </w:p>
        </w:tc>
        <w:tc>
          <w:tcPr>
            <w:tcW w:type="dxa" w:w="3168"/>
            <w:vAlign w:val="center"/>
            <w:tcMar>
              <w:top w:w="70" w:type="dxa"/>
              <w:start w:w="85" w:type="dxa"/>
              <w:bottom w:w="70" w:type="dxa"/>
              <w:end w:w="85" w:type="dxa"/>
            </w:tcMar>
            <w:shd w:fill="F4F6F7"/>
          </w:tcPr>
          <w:p>
            <w:pPr>
              <w:spacing w:before="0" w:after="0"/>
            </w:pPr>
            <w:r/>
            <w:r>
              <w:rPr>
                <w:rFonts w:ascii="Aptos" w:hAnsi="Aptos"/>
                <w:b w:val="0"/>
                <w:color w:val="27343E"/>
                <w:sz w:val="14"/>
              </w:rPr>
              <w:t>Product safety, automation bias, inspector agency, worker-monitoring repurposing, waste</w:t>
            </w:r>
          </w:p>
        </w:tc>
      </w:tr>
      <w:tr>
        <w:tc>
          <w:tcPr>
            <w:tcW w:type="dxa" w:w="936"/>
            <w:vAlign w:val="center"/>
            <w:tcMar>
              <w:top w:w="70" w:type="dxa"/>
              <w:start w:w="85" w:type="dxa"/>
              <w:bottom w:w="70" w:type="dxa"/>
              <w:end w:w="85" w:type="dxa"/>
            </w:tcMar>
          </w:tcPr>
          <w:p>
            <w:pPr>
              <w:spacing w:before="0" w:after="0"/>
            </w:pPr>
            <w:r/>
            <w:r>
              <w:rPr>
                <w:rFonts w:ascii="Aptos" w:hAnsi="Aptos"/>
                <w:b w:val="0"/>
                <w:color w:val="27343E"/>
                <w:sz w:val="14"/>
              </w:rPr>
              <w:t>AI-005</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4"/>
              </w:rPr>
              <w:t>DuckTalent AI</w:t>
            </w:r>
          </w:p>
        </w:tc>
        <w:tc>
          <w:tcPr>
            <w:tcW w:type="dxa" w:w="1512"/>
            <w:vAlign w:val="center"/>
            <w:tcMar>
              <w:top w:w="70" w:type="dxa"/>
              <w:start w:w="85" w:type="dxa"/>
              <w:bottom w:w="70" w:type="dxa"/>
              <w:end w:w="85" w:type="dxa"/>
            </w:tcMar>
          </w:tcPr>
          <w:p>
            <w:pPr>
              <w:spacing w:before="0" w:after="0"/>
            </w:pPr>
            <w:r/>
            <w:r>
              <w:rPr>
                <w:rFonts w:ascii="Aptos" w:hAnsi="Aptos"/>
                <w:b w:val="0"/>
                <w:color w:val="27343E"/>
                <w:sz w:val="14"/>
              </w:rPr>
              <w:t>E4 — Severe</w:t>
            </w:r>
          </w:p>
        </w:tc>
        <w:tc>
          <w:tcPr>
            <w:tcW w:type="dxa" w:w="2448"/>
            <w:vAlign w:val="center"/>
            <w:tcMar>
              <w:top w:w="70" w:type="dxa"/>
              <w:start w:w="85" w:type="dxa"/>
              <w:bottom w:w="70" w:type="dxa"/>
              <w:end w:w="85" w:type="dxa"/>
            </w:tcMar>
          </w:tcPr>
          <w:p>
            <w:pPr>
              <w:spacing w:before="0" w:after="0"/>
            </w:pPr>
            <w:r/>
            <w:r>
              <w:rPr>
                <w:rFonts w:ascii="Aptos" w:hAnsi="Aptos"/>
                <w:b w:val="0"/>
                <w:color w:val="27343E"/>
                <w:sz w:val="14"/>
              </w:rPr>
              <w:t>Do not deploy</w:t>
            </w:r>
          </w:p>
        </w:tc>
        <w:tc>
          <w:tcPr>
            <w:tcW w:type="dxa" w:w="3168"/>
            <w:vAlign w:val="center"/>
            <w:tcMar>
              <w:top w:w="70" w:type="dxa"/>
              <w:start w:w="85" w:type="dxa"/>
              <w:bottom w:w="70" w:type="dxa"/>
              <w:end w:w="85" w:type="dxa"/>
            </w:tcMar>
          </w:tcPr>
          <w:p>
            <w:pPr>
              <w:spacing w:before="0" w:after="0"/>
            </w:pPr>
            <w:r/>
            <w:r>
              <w:rPr>
                <w:rFonts w:ascii="Aptos" w:hAnsi="Aptos"/>
                <w:b w:val="0"/>
                <w:color w:val="27343E"/>
                <w:sz w:val="14"/>
              </w:rPr>
              <w:t>Employment opportunity, discrimination, dignity, privacy, accessibility, opacity, contestability, power imbalance</w:t>
            </w:r>
          </w:p>
        </w:tc>
      </w:tr>
      <w:tr>
        <w:tc>
          <w:tcPr>
            <w:tcW w:type="dxa" w:w="936"/>
            <w:vAlign w:val="center"/>
            <w:tcMar>
              <w:top w:w="70" w:type="dxa"/>
              <w:start w:w="85" w:type="dxa"/>
              <w:bottom w:w="70" w:type="dxa"/>
              <w:end w:w="85" w:type="dxa"/>
            </w:tcMar>
            <w:shd w:fill="F4F6F7"/>
          </w:tcPr>
          <w:p>
            <w:pPr>
              <w:spacing w:before="0" w:after="0"/>
            </w:pPr>
            <w:r/>
            <w:r>
              <w:rPr>
                <w:rFonts w:ascii="Aptos" w:hAnsi="Aptos"/>
                <w:b w:val="0"/>
                <w:color w:val="27343E"/>
                <w:sz w:val="14"/>
              </w:rPr>
              <w:t>AI-006</w:t>
            </w:r>
          </w:p>
        </w:tc>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4"/>
              </w:rPr>
              <w:t>PondGPT</w:t>
            </w:r>
          </w:p>
        </w:tc>
        <w:tc>
          <w:tcPr>
            <w:tcW w:type="dxa" w:w="1512"/>
            <w:vAlign w:val="center"/>
            <w:tcMar>
              <w:top w:w="70" w:type="dxa"/>
              <w:start w:w="85" w:type="dxa"/>
              <w:bottom w:w="70" w:type="dxa"/>
              <w:end w:w="85" w:type="dxa"/>
            </w:tcMar>
            <w:shd w:fill="F4F6F7"/>
          </w:tcPr>
          <w:p>
            <w:pPr>
              <w:spacing w:before="0" w:after="0"/>
            </w:pPr>
            <w:r/>
            <w:r>
              <w:rPr>
                <w:rFonts w:ascii="Aptos" w:hAnsi="Aptos"/>
                <w:b w:val="0"/>
                <w:color w:val="27343E"/>
                <w:sz w:val="14"/>
              </w:rPr>
              <w:t>E3 — Significant</w:t>
            </w:r>
          </w:p>
        </w:tc>
        <w:tc>
          <w:tcPr>
            <w:tcW w:type="dxa" w:w="2448"/>
            <w:vAlign w:val="center"/>
            <w:tcMar>
              <w:top w:w="70" w:type="dxa"/>
              <w:start w:w="85" w:type="dxa"/>
              <w:bottom w:w="70" w:type="dxa"/>
              <w:end w:w="85" w:type="dxa"/>
            </w:tcMar>
            <w:shd w:fill="F4F6F7"/>
          </w:tcPr>
          <w:p>
            <w:pPr>
              <w:spacing w:before="0" w:after="0"/>
            </w:pPr>
            <w:r/>
            <w:r>
              <w:rPr>
                <w:rFonts w:ascii="Aptos" w:hAnsi="Aptos"/>
                <w:b w:val="0"/>
                <w:color w:val="27343E"/>
                <w:sz w:val="14"/>
              </w:rPr>
              <w:t>Restricted pilot; sensitive repositories excluded</w:t>
            </w:r>
          </w:p>
        </w:tc>
        <w:tc>
          <w:tcPr>
            <w:tcW w:type="dxa" w:w="3168"/>
            <w:vAlign w:val="center"/>
            <w:tcMar>
              <w:top w:w="70" w:type="dxa"/>
              <w:start w:w="85" w:type="dxa"/>
              <w:bottom w:w="70" w:type="dxa"/>
              <w:end w:w="85" w:type="dxa"/>
            </w:tcMar>
            <w:shd w:fill="F4F6F7"/>
          </w:tcPr>
          <w:p>
            <w:pPr>
              <w:spacing w:before="0" w:after="0"/>
            </w:pPr>
            <w:r/>
            <w:r>
              <w:rPr>
                <w:rFonts w:ascii="Aptos" w:hAnsi="Aptos"/>
                <w:b w:val="0"/>
                <w:color w:val="27343E"/>
                <w:sz w:val="14"/>
              </w:rPr>
              <w:t>Workforce autonomy, privacy, surveillance risk, information integrity, deskilling, security</w:t>
            </w:r>
          </w:p>
        </w:tc>
      </w:tr>
      <w:tr>
        <w:tc>
          <w:tcPr>
            <w:tcW w:type="dxa" w:w="936"/>
            <w:vAlign w:val="center"/>
            <w:tcMar>
              <w:top w:w="70" w:type="dxa"/>
              <w:start w:w="85" w:type="dxa"/>
              <w:bottom w:w="70" w:type="dxa"/>
              <w:end w:w="85" w:type="dxa"/>
            </w:tcMar>
          </w:tcPr>
          <w:p>
            <w:pPr>
              <w:spacing w:before="0" w:after="0"/>
            </w:pPr>
            <w:r/>
            <w:r>
              <w:rPr>
                <w:rFonts w:ascii="Aptos" w:hAnsi="Aptos"/>
                <w:b w:val="0"/>
                <w:color w:val="27343E"/>
                <w:sz w:val="14"/>
              </w:rPr>
              <w:t>AI-007</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4"/>
              </w:rPr>
              <w:t>Unregistered GenAI Usage</w:t>
            </w:r>
          </w:p>
        </w:tc>
        <w:tc>
          <w:tcPr>
            <w:tcW w:type="dxa" w:w="1512"/>
            <w:vAlign w:val="center"/>
            <w:tcMar>
              <w:top w:w="70" w:type="dxa"/>
              <w:start w:w="85" w:type="dxa"/>
              <w:bottom w:w="70" w:type="dxa"/>
              <w:end w:w="85" w:type="dxa"/>
            </w:tcMar>
          </w:tcPr>
          <w:p>
            <w:pPr>
              <w:spacing w:before="0" w:after="0"/>
            </w:pPr>
            <w:r/>
            <w:r>
              <w:rPr>
                <w:rFonts w:ascii="Aptos" w:hAnsi="Aptos"/>
                <w:b w:val="0"/>
                <w:color w:val="27343E"/>
                <w:sz w:val="14"/>
              </w:rPr>
              <w:t>E4 — Severe</w:t>
            </w:r>
          </w:p>
        </w:tc>
        <w:tc>
          <w:tcPr>
            <w:tcW w:type="dxa" w:w="2448"/>
            <w:vAlign w:val="center"/>
            <w:tcMar>
              <w:top w:w="70" w:type="dxa"/>
              <w:start w:w="85" w:type="dxa"/>
              <w:bottom w:w="70" w:type="dxa"/>
              <w:end w:w="85" w:type="dxa"/>
            </w:tcMar>
          </w:tcPr>
          <w:p>
            <w:pPr>
              <w:spacing w:before="0" w:after="0"/>
            </w:pPr>
            <w:r/>
            <w:r>
              <w:rPr>
                <w:rFonts w:ascii="Aptos" w:hAnsi="Aptos"/>
                <w:b w:val="0"/>
                <w:color w:val="27343E"/>
                <w:sz w:val="14"/>
              </w:rPr>
              <w:t>Immediate containment and decomposition</w:t>
            </w:r>
          </w:p>
        </w:tc>
        <w:tc>
          <w:tcPr>
            <w:tcW w:type="dxa" w:w="3168"/>
            <w:vAlign w:val="center"/>
            <w:tcMar>
              <w:top w:w="70" w:type="dxa"/>
              <w:start w:w="85" w:type="dxa"/>
              <w:bottom w:w="70" w:type="dxa"/>
              <w:end w:w="85" w:type="dxa"/>
            </w:tcMar>
          </w:tcPr>
          <w:p>
            <w:pPr>
              <w:spacing w:before="0" w:after="0"/>
            </w:pPr>
            <w:r/>
            <w:r>
              <w:rPr>
                <w:rFonts w:ascii="Aptos" w:hAnsi="Aptos"/>
                <w:b w:val="0"/>
                <w:color w:val="27343E"/>
                <w:sz w:val="14"/>
              </w:rPr>
              <w:t>Unknown purpose/data/vendors, absent accountability, privacy/IP leakage, hidden consequential use</w:t>
            </w:r>
          </w:p>
        </w:tc>
      </w:tr>
    </w:tbl>
    <w:p>
      <w:pPr>
        <w:spacing w:after="0"/>
      </w:pPr>
    </w:p>
    <w:tbl>
      <w:tblPr>
        <w:tblW w:type="auto" w:w="0"/>
        <w:jc w:val="center"/>
        <w:tblLook w:firstColumn="1" w:firstRow="1" w:lastColumn="0" w:lastRow="0" w:noHBand="0" w:noVBand="1" w:val="04A0"/>
      </w:tblPr>
      <w:tblGrid>
        <w:gridCol w:w="10224"/>
      </w:tblGrid>
      <w:tr>
        <w:tc>
          <w:tcPr>
            <w:tcW w:type="dxa" w:w="10224"/>
            <w:shd w:fill="FFF1D5"/>
            <w:tcMar>
              <w:top w:w="120" w:type="dxa"/>
              <w:start w:w="140" w:type="dxa"/>
              <w:bottom w:w="120" w:type="dxa"/>
              <w:end w:w="140" w:type="dxa"/>
            </w:tcMar>
            <w:tcBorders>
              <w:left w:val="single" w:sz="18" w:color="2D6F6D"/>
            </w:tcBorders>
          </w:tcPr>
          <w:p>
            <w:pPr>
              <w:spacing w:after="60"/>
            </w:pPr>
            <w:r>
              <w:rPr>
                <w:b/>
                <w:color w:val="173B57"/>
                <w:sz w:val="20"/>
              </w:rPr>
              <w:t>Overall conclusion</w:t>
            </w:r>
          </w:p>
          <w:p>
            <w:pPr>
              <w:spacing w:after="0"/>
            </w:pPr>
            <w:r>
              <w:rPr>
                <w:color w:val="27343E"/>
                <w:sz w:val="18"/>
              </w:rPr>
              <w:t>Ethical acceptability cannot be established by business benefit alone. DuckTalent and Unregistered GenAI Usage are unacceptable in their current states. DuckDesign, QuackBot, WingInspect and PondGPT require enhanced safeguards and evidence before broader deployment. FeatherForecast is ethically manageable within its current decision-support boundary, provided human planning authority, transparency and monitoring remain effective.</w:t>
            </w:r>
          </w:p>
        </w:tc>
      </w:tr>
    </w:tbl>
    <w:p>
      <w:pPr>
        <w:spacing w:after="0"/>
      </w:pPr>
    </w:p>
    <w:p>
      <w:pPr>
        <w:pStyle w:val="Heading1"/>
      </w:pPr>
      <w:r>
        <w:t>2. Assessment Boundary and Relationship to Other Duckworks Assessments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center"/>
            <w:tcMar>
              <w:top w:w="70" w:type="dxa"/>
              <w:start w:w="85" w:type="dxa"/>
              <w:bottom w:w="70" w:type="dxa"/>
              <w:end w:w="85" w:type="dxa"/>
            </w:tcMar>
            <w:shd w:fill="173B57"/>
          </w:tcPr>
          <w:p>
            <w:pPr>
              <w:spacing w:before="0" w:after="0"/>
            </w:pPr>
            <w:r/>
            <w:r>
              <w:rPr>
                <w:rFonts w:ascii="Aptos" w:hAnsi="Aptos"/>
                <w:b/>
                <w:color w:val="FFFFFF"/>
                <w:sz w:val="15"/>
              </w:rPr>
              <w:t>Assessment</w:t>
            </w:r>
          </w:p>
        </w:tc>
        <w:tc>
          <w:tcPr>
            <w:tcW w:type="dxa" w:w="5616"/>
            <w:vAlign w:val="center"/>
            <w:tcMar>
              <w:top w:w="70" w:type="dxa"/>
              <w:start w:w="85" w:type="dxa"/>
              <w:bottom w:w="70" w:type="dxa"/>
              <w:end w:w="85" w:type="dxa"/>
            </w:tcMar>
            <w:shd w:fill="173B57"/>
          </w:tcPr>
          <w:p>
            <w:pPr>
              <w:spacing w:before="0" w:after="0"/>
            </w:pPr>
            <w:r/>
            <w:r>
              <w:rPr>
                <w:rFonts w:ascii="Aptos" w:hAnsi="Aptos"/>
                <w:b/>
                <w:color w:val="FFFFFF"/>
                <w:sz w:val="15"/>
              </w:rPr>
              <w:t>Question it answers</w:t>
            </w:r>
          </w:p>
        </w:tc>
        <w:tc>
          <w:tcPr>
            <w:tcW w:type="dxa" w:w="1584"/>
            <w:vAlign w:val="center"/>
            <w:tcMar>
              <w:top w:w="70" w:type="dxa"/>
              <w:start w:w="85" w:type="dxa"/>
              <w:bottom w:w="70" w:type="dxa"/>
              <w:end w:w="85" w:type="dxa"/>
            </w:tcMar>
            <w:shd w:fill="173B57"/>
          </w:tcPr>
          <w:p>
            <w:pPr>
              <w:spacing w:before="0" w:after="0"/>
            </w:pPr>
            <w:r/>
            <w:r>
              <w:rPr>
                <w:rFonts w:ascii="Aptos" w:hAnsi="Aptos"/>
                <w:b/>
                <w:color w:val="FFFFFF"/>
                <w:sz w:val="15"/>
              </w:rPr>
              <w:t>Boundary</w:t>
            </w:r>
          </w:p>
        </w:tc>
      </w:tr>
      <w:tr>
        <w:tc>
          <w:tcPr>
            <w:tcW w:type="dxa" w:w="2448"/>
            <w:vAlign w:val="center"/>
            <w:tcMar>
              <w:top w:w="70" w:type="dxa"/>
              <w:start w:w="85" w:type="dxa"/>
              <w:bottom w:w="70" w:type="dxa"/>
              <w:end w:w="85" w:type="dxa"/>
            </w:tcMar>
          </w:tcPr>
          <w:p>
            <w:pPr>
              <w:spacing w:before="0" w:after="0"/>
            </w:pPr>
            <w:r/>
            <w:r>
              <w:rPr>
                <w:rFonts w:ascii="Aptos" w:hAnsi="Aptos"/>
                <w:b w:val="0"/>
                <w:color w:val="27343E"/>
                <w:sz w:val="15"/>
              </w:rPr>
              <w:t>AI Ethical Impact Assessment</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Values, fairness, agency, dignity, transparency, accountability, societal/workforce/environmental effects and ethical trade-offs.</w:t>
            </w:r>
          </w:p>
        </w:tc>
        <w:tc>
          <w:tcPr>
            <w:tcW w:type="dxa" w:w="1584"/>
            <w:vAlign w:val="center"/>
            <w:tcMar>
              <w:top w:w="70" w:type="dxa"/>
              <w:start w:w="85" w:type="dxa"/>
              <w:bottom w:w="70" w:type="dxa"/>
              <w:end w:w="85" w:type="dxa"/>
            </w:tcMar>
          </w:tcPr>
          <w:p>
            <w:pPr>
              <w:spacing w:before="0" w:after="0"/>
            </w:pPr>
            <w:r/>
            <w:r>
              <w:rPr>
                <w:rFonts w:ascii="Aptos" w:hAnsi="Aptos"/>
                <w:b w:val="0"/>
                <w:color w:val="27343E"/>
                <w:sz w:val="15"/>
              </w:rPr>
              <w:t>This document</w:t>
            </w:r>
          </w:p>
        </w:tc>
      </w:tr>
      <w:tr>
        <w:tc>
          <w:tcPr>
            <w:tcW w:type="dxa" w:w="2448"/>
            <w:vAlign w:val="center"/>
            <w:tcMar>
              <w:top w:w="70" w:type="dxa"/>
              <w:start w:w="85" w:type="dxa"/>
              <w:bottom w:w="70" w:type="dxa"/>
              <w:end w:w="85" w:type="dxa"/>
            </w:tcMar>
            <w:shd w:fill="F4F6F7"/>
          </w:tcPr>
          <w:p>
            <w:pPr>
              <w:spacing w:before="0" w:after="0"/>
            </w:pPr>
            <w:r/>
            <w:r>
              <w:rPr>
                <w:rFonts w:ascii="Aptos" w:hAnsi="Aptos"/>
                <w:b w:val="0"/>
                <w:color w:val="27343E"/>
                <w:sz w:val="15"/>
              </w:rPr>
              <w:t>AI Impact Assessment</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Positive/adverse effects on people, groups, society and organization for each system.</w:t>
            </w:r>
          </w:p>
        </w:tc>
        <w:tc>
          <w:tcPr>
            <w:tcW w:type="dxa" w:w="1584"/>
            <w:vAlign w:val="center"/>
            <w:tcMar>
              <w:top w:w="70" w:type="dxa"/>
              <w:start w:w="85" w:type="dxa"/>
              <w:bottom w:w="70" w:type="dxa"/>
              <w:end w:w="85" w:type="dxa"/>
            </w:tcMar>
            <w:shd w:fill="F4F6F7"/>
          </w:tcPr>
          <w:p>
            <w:pPr>
              <w:spacing w:before="0" w:after="0"/>
            </w:pPr>
            <w:r/>
            <w:r>
              <w:rPr>
                <w:rFonts w:ascii="Aptos" w:hAnsi="Aptos"/>
                <w:b w:val="0"/>
                <w:color w:val="27343E"/>
                <w:sz w:val="15"/>
              </w:rPr>
              <w:t>Existing seven-system AIA pack</w:t>
            </w:r>
          </w:p>
        </w:tc>
      </w:tr>
      <w:tr>
        <w:tc>
          <w:tcPr>
            <w:tcW w:type="dxa" w:w="2448"/>
            <w:vAlign w:val="center"/>
            <w:tcMar>
              <w:top w:w="70" w:type="dxa"/>
              <w:start w:w="85" w:type="dxa"/>
              <w:bottom w:w="70" w:type="dxa"/>
              <w:end w:w="85" w:type="dxa"/>
            </w:tcMar>
          </w:tcPr>
          <w:p>
            <w:pPr>
              <w:spacing w:before="0" w:after="0"/>
            </w:pPr>
            <w:r/>
            <w:r>
              <w:rPr>
                <w:rFonts w:ascii="Aptos" w:hAnsi="Aptos"/>
                <w:b w:val="0"/>
                <w:color w:val="27343E"/>
                <w:sz w:val="15"/>
              </w:rPr>
              <w:t>AI Risk Assessment</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Scenario likelihood/severity, controls, inherent/current/target residual risk.</w:t>
            </w:r>
          </w:p>
        </w:tc>
        <w:tc>
          <w:tcPr>
            <w:tcW w:type="dxa" w:w="1584"/>
            <w:vAlign w:val="center"/>
            <w:tcMar>
              <w:top w:w="70" w:type="dxa"/>
              <w:start w:w="85" w:type="dxa"/>
              <w:bottom w:w="70" w:type="dxa"/>
              <w:end w:w="85" w:type="dxa"/>
            </w:tcMar>
          </w:tcPr>
          <w:p>
            <w:pPr>
              <w:spacing w:before="0" w:after="0"/>
            </w:pPr>
            <w:r/>
            <w:r>
              <w:rPr>
                <w:rFonts w:ascii="Aptos" w:hAnsi="Aptos"/>
                <w:b w:val="0"/>
                <w:color w:val="27343E"/>
                <w:sz w:val="15"/>
              </w:rPr>
              <w:t>Existing enterprise risk methodology/report</w:t>
            </w:r>
          </w:p>
        </w:tc>
      </w:tr>
      <w:tr>
        <w:tc>
          <w:tcPr>
            <w:tcW w:type="dxa" w:w="2448"/>
            <w:vAlign w:val="center"/>
            <w:tcMar>
              <w:top w:w="70" w:type="dxa"/>
              <w:start w:w="85" w:type="dxa"/>
              <w:bottom w:w="70" w:type="dxa"/>
              <w:end w:w="85" w:type="dxa"/>
            </w:tcMar>
            <w:shd w:fill="F4F6F7"/>
          </w:tcPr>
          <w:p>
            <w:pPr>
              <w:spacing w:before="0" w:after="0"/>
            </w:pPr>
            <w:r/>
            <w:r>
              <w:rPr>
                <w:rFonts w:ascii="Aptos" w:hAnsi="Aptos"/>
                <w:b w:val="0"/>
                <w:color w:val="27343E"/>
                <w:sz w:val="15"/>
              </w:rPr>
              <w:t>EU AI Act / legal triage</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Prohibited/high-risk/transparency and other legal obligations where applicable.</w:t>
            </w:r>
          </w:p>
        </w:tc>
        <w:tc>
          <w:tcPr>
            <w:tcW w:type="dxa" w:w="1584"/>
            <w:vAlign w:val="center"/>
            <w:tcMar>
              <w:top w:w="70" w:type="dxa"/>
              <w:start w:w="85" w:type="dxa"/>
              <w:bottom w:w="70" w:type="dxa"/>
              <w:end w:w="85" w:type="dxa"/>
            </w:tcMar>
            <w:shd w:fill="F4F6F7"/>
          </w:tcPr>
          <w:p>
            <w:pPr>
              <w:spacing w:before="0" w:after="0"/>
            </w:pPr>
            <w:r/>
            <w:r>
              <w:rPr>
                <w:rFonts w:ascii="Aptos" w:hAnsi="Aptos"/>
                <w:b w:val="0"/>
                <w:color w:val="27343E"/>
                <w:sz w:val="15"/>
              </w:rPr>
              <w:t>Legal/Compliance</w:t>
            </w:r>
          </w:p>
        </w:tc>
      </w:tr>
      <w:tr>
        <w:tc>
          <w:tcPr>
            <w:tcW w:type="dxa" w:w="2448"/>
            <w:vAlign w:val="center"/>
            <w:tcMar>
              <w:top w:w="70" w:type="dxa"/>
              <w:start w:w="85" w:type="dxa"/>
              <w:bottom w:w="70" w:type="dxa"/>
              <w:end w:w="85" w:type="dxa"/>
            </w:tcMar>
          </w:tcPr>
          <w:p>
            <w:pPr>
              <w:spacing w:before="0" w:after="0"/>
            </w:pPr>
            <w:r/>
            <w:r>
              <w:rPr>
                <w:rFonts w:ascii="Aptos" w:hAnsi="Aptos"/>
                <w:b w:val="0"/>
                <w:color w:val="27343E"/>
                <w:sz w:val="15"/>
              </w:rPr>
              <w:t>GDPR DPIA</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Risks to rights and freedoms from personal-data processing and privacy safeguards.</w:t>
            </w:r>
          </w:p>
        </w:tc>
        <w:tc>
          <w:tcPr>
            <w:tcW w:type="dxa" w:w="1584"/>
            <w:vAlign w:val="center"/>
            <w:tcMar>
              <w:top w:w="70" w:type="dxa"/>
              <w:start w:w="85" w:type="dxa"/>
              <w:bottom w:w="70" w:type="dxa"/>
              <w:end w:w="85" w:type="dxa"/>
            </w:tcMar>
          </w:tcPr>
          <w:p>
            <w:pPr>
              <w:spacing w:before="0" w:after="0"/>
            </w:pPr>
            <w:r/>
            <w:r>
              <w:rPr>
                <w:rFonts w:ascii="Aptos" w:hAnsi="Aptos"/>
                <w:b w:val="0"/>
                <w:color w:val="27343E"/>
                <w:sz w:val="15"/>
              </w:rPr>
              <w:t>Separate when Article 35 applies</w:t>
            </w:r>
          </w:p>
        </w:tc>
      </w:tr>
      <w:tr>
        <w:tc>
          <w:tcPr>
            <w:tcW w:type="dxa" w:w="2448"/>
            <w:vAlign w:val="center"/>
            <w:tcMar>
              <w:top w:w="70" w:type="dxa"/>
              <w:start w:w="85" w:type="dxa"/>
              <w:bottom w:w="70" w:type="dxa"/>
              <w:end w:w="85" w:type="dxa"/>
            </w:tcMar>
            <w:shd w:fill="F4F6F7"/>
          </w:tcPr>
          <w:p>
            <w:pPr>
              <w:spacing w:before="0" w:after="0"/>
            </w:pPr>
            <w:r/>
            <w:r>
              <w:rPr>
                <w:rFonts w:ascii="Aptos" w:hAnsi="Aptos"/>
                <w:b w:val="0"/>
                <w:color w:val="27343E"/>
                <w:sz w:val="15"/>
              </w:rPr>
              <w:t>Fundamental Rights / HUDERIA</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Rights-specific and human-rights-focused assessment.</w:t>
            </w:r>
          </w:p>
        </w:tc>
        <w:tc>
          <w:tcPr>
            <w:tcW w:type="dxa" w:w="1584"/>
            <w:vAlign w:val="center"/>
            <w:tcMar>
              <w:top w:w="70" w:type="dxa"/>
              <w:start w:w="85" w:type="dxa"/>
              <w:bottom w:w="70" w:type="dxa"/>
              <w:end w:w="85" w:type="dxa"/>
            </w:tcMar>
            <w:shd w:fill="F4F6F7"/>
          </w:tcPr>
          <w:p>
            <w:pPr>
              <w:spacing w:before="0" w:after="0"/>
            </w:pPr>
            <w:r/>
            <w:r>
              <w:rPr>
                <w:rFonts w:ascii="Aptos" w:hAnsi="Aptos"/>
                <w:b w:val="0"/>
                <w:color w:val="27343E"/>
                <w:sz w:val="15"/>
              </w:rPr>
              <w:t>Separate companion assessments</w:t>
            </w:r>
          </w:p>
        </w:tc>
      </w:tr>
      <w:tr>
        <w:tc>
          <w:tcPr>
            <w:tcW w:type="dxa" w:w="2448"/>
            <w:vAlign w:val="center"/>
            <w:tcMar>
              <w:top w:w="70" w:type="dxa"/>
              <w:start w:w="85" w:type="dxa"/>
              <w:bottom w:w="70" w:type="dxa"/>
              <w:end w:w="85" w:type="dxa"/>
            </w:tcMar>
          </w:tcPr>
          <w:p>
            <w:pPr>
              <w:spacing w:before="0" w:after="0"/>
            </w:pPr>
            <w:r/>
            <w:r>
              <w:rPr>
                <w:rFonts w:ascii="Aptos" w:hAnsi="Aptos"/>
                <w:b w:val="0"/>
                <w:color w:val="27343E"/>
                <w:sz w:val="15"/>
              </w:rPr>
              <w:t>Security / safety validation</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Threat, robustness, product safety and technical test evidence.</w:t>
            </w:r>
          </w:p>
        </w:tc>
        <w:tc>
          <w:tcPr>
            <w:tcW w:type="dxa" w:w="1584"/>
            <w:vAlign w:val="center"/>
            <w:tcMar>
              <w:top w:w="70" w:type="dxa"/>
              <w:start w:w="85" w:type="dxa"/>
              <w:bottom w:w="70" w:type="dxa"/>
              <w:end w:w="85" w:type="dxa"/>
            </w:tcMar>
          </w:tcPr>
          <w:p>
            <w:pPr>
              <w:spacing w:before="0" w:after="0"/>
            </w:pPr>
            <w:r/>
            <w:r>
              <w:rPr>
                <w:rFonts w:ascii="Aptos" w:hAnsi="Aptos"/>
                <w:b w:val="0"/>
                <w:color w:val="27343E"/>
                <w:sz w:val="15"/>
              </w:rPr>
              <w:t>Separate specialist review</w:t>
            </w:r>
          </w:p>
        </w:tc>
      </w:tr>
    </w:tbl>
    <w:p>
      <w:pPr>
        <w:spacing w:after="0"/>
      </w:pPr>
    </w:p>
    <w:tbl>
      <w:tblPr>
        <w:tblW w:type="auto" w:w="0"/>
        <w:jc w:val="center"/>
        <w:tblLook w:firstColumn="1" w:firstRow="1" w:lastColumn="0" w:lastRow="0" w:noHBand="0" w:noVBand="1" w:val="04A0"/>
      </w:tblPr>
      <w:tblGrid>
        <w:gridCol w:w="10224"/>
      </w:tblGrid>
      <w:tr>
        <w:tc>
          <w:tcPr>
            <w:tcW w:type="dxa" w:w="10224"/>
            <w:shd w:fill="E4F0EF"/>
            <w:tcMar>
              <w:top w:w="120" w:type="dxa"/>
              <w:start w:w="140" w:type="dxa"/>
              <w:bottom w:w="120" w:type="dxa"/>
              <w:end w:w="140" w:type="dxa"/>
            </w:tcMar>
            <w:tcBorders>
              <w:left w:val="single" w:sz="18" w:color="2D6F6D"/>
            </w:tcBorders>
          </w:tcPr>
          <w:p>
            <w:pPr>
              <w:spacing w:after="60"/>
            </w:pPr>
            <w:r>
              <w:rPr>
                <w:b/>
                <w:color w:val="173B57"/>
                <w:sz w:val="20"/>
              </w:rPr>
              <w:t>No duplication rule</w:t>
            </w:r>
          </w:p>
          <w:p>
            <w:pPr>
              <w:spacing w:after="0"/>
            </w:pPr>
            <w:r>
              <w:rPr>
                <w:color w:val="27343E"/>
                <w:sz w:val="18"/>
              </w:rPr>
              <w:t>Where an existing Duckworks AIA, DPIA, FRIA or risk assessment already establishes a fact, this ethical assessment reuses that evidence rather than inventing a new fact or a conflicting score. Ethical conclusions are recorded separately because an issue can be ethically significant even when its legal status or quantitative risk score is different.</w:t>
            </w:r>
          </w:p>
        </w:tc>
      </w:tr>
    </w:tbl>
    <w:p>
      <w:pPr>
        <w:spacing w:after="0"/>
      </w:pPr>
    </w:p>
    <w:p>
      <w:pPr>
        <w:pStyle w:val="Heading1"/>
      </w:pPr>
      <w:r>
        <w:t>3. Ethical Assessment Basis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tcMar>
              <w:top w:w="70" w:type="dxa"/>
              <w:start w:w="85" w:type="dxa"/>
              <w:bottom w:w="70" w:type="dxa"/>
              <w:end w:w="85" w:type="dxa"/>
            </w:tcMar>
            <w:shd w:fill="173B57"/>
          </w:tcPr>
          <w:p>
            <w:pPr>
              <w:spacing w:before="0" w:after="0"/>
            </w:pPr>
            <w:r/>
            <w:r>
              <w:rPr>
                <w:rFonts w:ascii="Aptos" w:hAnsi="Aptos"/>
                <w:b/>
                <w:color w:val="FFFFFF"/>
                <w:sz w:val="15"/>
              </w:rPr>
              <w:t>Source</w:t>
            </w:r>
          </w:p>
        </w:tc>
        <w:tc>
          <w:tcPr>
            <w:tcW w:type="dxa" w:w="2232"/>
            <w:vAlign w:val="center"/>
            <w:tcMar>
              <w:top w:w="70" w:type="dxa"/>
              <w:start w:w="85" w:type="dxa"/>
              <w:bottom w:w="70" w:type="dxa"/>
              <w:end w:w="85" w:type="dxa"/>
            </w:tcMar>
            <w:shd w:fill="173B57"/>
          </w:tcPr>
          <w:p>
            <w:pPr>
              <w:spacing w:before="0" w:after="0"/>
            </w:pPr>
            <w:r/>
            <w:r>
              <w:rPr>
                <w:rFonts w:ascii="Aptos" w:hAnsi="Aptos"/>
                <w:b/>
                <w:color w:val="FFFFFF"/>
                <w:sz w:val="15"/>
              </w:rPr>
              <w:t>Classification</w:t>
            </w:r>
          </w:p>
        </w:tc>
        <w:tc>
          <w:tcPr>
            <w:tcW w:type="dxa" w:w="4320"/>
            <w:vAlign w:val="center"/>
            <w:tcMar>
              <w:top w:w="70" w:type="dxa"/>
              <w:start w:w="85" w:type="dxa"/>
              <w:bottom w:w="70" w:type="dxa"/>
              <w:end w:w="85" w:type="dxa"/>
            </w:tcMar>
            <w:shd w:fill="173B57"/>
          </w:tcPr>
          <w:p>
            <w:pPr>
              <w:spacing w:before="0" w:after="0"/>
            </w:pPr>
            <w:r/>
            <w:r>
              <w:rPr>
                <w:rFonts w:ascii="Aptos" w:hAnsi="Aptos"/>
                <w:b/>
                <w:color w:val="FFFFFF"/>
                <w:sz w:val="15"/>
              </w:rPr>
              <w:t>Use in this assessment</w:t>
            </w:r>
          </w:p>
        </w:tc>
      </w:tr>
      <w:tr>
        <w:tc>
          <w:tcPr>
            <w:tcW w:type="dxa" w:w="2880"/>
            <w:vAlign w:val="center"/>
            <w:tcMar>
              <w:top w:w="70" w:type="dxa"/>
              <w:start w:w="85" w:type="dxa"/>
              <w:bottom w:w="70" w:type="dxa"/>
              <w:end w:w="85" w:type="dxa"/>
            </w:tcMar>
          </w:tcPr>
          <w:p>
            <w:pPr>
              <w:spacing w:before="0" w:after="0"/>
            </w:pPr>
            <w:r/>
            <w:r>
              <w:rPr>
                <w:rFonts w:ascii="Aptos" w:hAnsi="Aptos"/>
                <w:b w:val="0"/>
                <w:color w:val="27343E"/>
                <w:sz w:val="15"/>
              </w:rPr>
              <w:t>European Commission AI HLEG Ethics Guidelines / ALTAI</w:t>
            </w:r>
          </w:p>
        </w:tc>
        <w:tc>
          <w:tcPr>
            <w:tcW w:type="dxa" w:w="2232"/>
            <w:vAlign w:val="center"/>
            <w:tcMar>
              <w:top w:w="70" w:type="dxa"/>
              <w:start w:w="85" w:type="dxa"/>
              <w:bottom w:w="70" w:type="dxa"/>
              <w:end w:w="85" w:type="dxa"/>
            </w:tcMar>
          </w:tcPr>
          <w:p>
            <w:pPr>
              <w:spacing w:before="0" w:after="0"/>
            </w:pPr>
            <w:r/>
            <w:r>
              <w:rPr>
                <w:rFonts w:ascii="Aptos" w:hAnsi="Aptos"/>
                <w:b w:val="0"/>
                <w:color w:val="27343E"/>
                <w:sz w:val="15"/>
              </w:rPr>
              <w:t>Voluntary ethical guidance</w:t>
            </w:r>
          </w:p>
        </w:tc>
        <w:tc>
          <w:tcPr>
            <w:tcW w:type="dxa" w:w="4320"/>
            <w:vAlign w:val="center"/>
            <w:tcMar>
              <w:top w:w="70" w:type="dxa"/>
              <w:start w:w="85" w:type="dxa"/>
              <w:bottom w:w="70" w:type="dxa"/>
              <w:end w:w="85" w:type="dxa"/>
            </w:tcMar>
          </w:tcPr>
          <w:p>
            <w:pPr>
              <w:spacing w:before="0" w:after="0"/>
            </w:pPr>
            <w:r/>
            <w:r>
              <w:rPr>
                <w:rFonts w:ascii="Aptos" w:hAnsi="Aptos"/>
                <w:b w:val="0"/>
                <w:color w:val="27343E"/>
                <w:sz w:val="15"/>
              </w:rPr>
              <w:t>Seven requirements: human agency and oversight; technical robustness and safety; privacy/data governance; transparency; diversity/non-discrimination/fairness; societal/environmental well-being; accountability.</w:t>
            </w:r>
          </w:p>
        </w:tc>
      </w:tr>
      <w:tr>
        <w:tc>
          <w:tcPr>
            <w:tcW w:type="dxa" w:w="2880"/>
            <w:vAlign w:val="center"/>
            <w:tcMar>
              <w:top w:w="70" w:type="dxa"/>
              <w:start w:w="85" w:type="dxa"/>
              <w:bottom w:w="70" w:type="dxa"/>
              <w:end w:w="85" w:type="dxa"/>
            </w:tcMar>
            <w:shd w:fill="F4F6F7"/>
          </w:tcPr>
          <w:p>
            <w:pPr>
              <w:spacing w:before="0" w:after="0"/>
            </w:pPr>
            <w:r/>
            <w:r>
              <w:rPr>
                <w:rFonts w:ascii="Aptos" w:hAnsi="Aptos"/>
                <w:b w:val="0"/>
                <w:color w:val="27343E"/>
                <w:sz w:val="15"/>
              </w:rPr>
              <w:t>OECD AI Principles</w:t>
            </w:r>
          </w:p>
        </w:tc>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5"/>
              </w:rPr>
              <w:t>Intergovernmental voluntary principles</w:t>
            </w:r>
          </w:p>
        </w:tc>
        <w:tc>
          <w:tcPr>
            <w:tcW w:type="dxa" w:w="4320"/>
            <w:vAlign w:val="center"/>
            <w:tcMar>
              <w:top w:w="70" w:type="dxa"/>
              <w:start w:w="85" w:type="dxa"/>
              <w:bottom w:w="70" w:type="dxa"/>
              <w:end w:w="85" w:type="dxa"/>
            </w:tcMar>
            <w:shd w:fill="F4F6F7"/>
          </w:tcPr>
          <w:p>
            <w:pPr>
              <w:spacing w:before="0" w:after="0"/>
            </w:pPr>
            <w:r/>
            <w:r>
              <w:rPr>
                <w:rFonts w:ascii="Aptos" w:hAnsi="Aptos"/>
                <w:b w:val="0"/>
                <w:color w:val="27343E"/>
                <w:sz w:val="15"/>
              </w:rPr>
              <w:t>Inclusive growth/well-being; human-centred values and fairness; transparency/explainability; robustness/security/safety; accountability.</w:t>
            </w:r>
          </w:p>
        </w:tc>
      </w:tr>
      <w:tr>
        <w:tc>
          <w:tcPr>
            <w:tcW w:type="dxa" w:w="2880"/>
            <w:vAlign w:val="center"/>
            <w:tcMar>
              <w:top w:w="70" w:type="dxa"/>
              <w:start w:w="85" w:type="dxa"/>
              <w:bottom w:w="70" w:type="dxa"/>
              <w:end w:w="85" w:type="dxa"/>
            </w:tcMar>
          </w:tcPr>
          <w:p>
            <w:pPr>
              <w:spacing w:before="0" w:after="0"/>
            </w:pPr>
            <w:r/>
            <w:r>
              <w:rPr>
                <w:rFonts w:ascii="Aptos" w:hAnsi="Aptos"/>
                <w:b w:val="0"/>
                <w:color w:val="27343E"/>
                <w:sz w:val="15"/>
              </w:rPr>
              <w:t>NIST AI RMF 1.0</w:t>
            </w:r>
          </w:p>
        </w:tc>
        <w:tc>
          <w:tcPr>
            <w:tcW w:type="dxa" w:w="2232"/>
            <w:vAlign w:val="center"/>
            <w:tcMar>
              <w:top w:w="70" w:type="dxa"/>
              <w:start w:w="85" w:type="dxa"/>
              <w:bottom w:w="70" w:type="dxa"/>
              <w:end w:w="85" w:type="dxa"/>
            </w:tcMar>
          </w:tcPr>
          <w:p>
            <w:pPr>
              <w:spacing w:before="0" w:after="0"/>
            </w:pPr>
            <w:r/>
            <w:r>
              <w:rPr>
                <w:rFonts w:ascii="Aptos" w:hAnsi="Aptos"/>
                <w:b w:val="0"/>
                <w:color w:val="27343E"/>
                <w:sz w:val="15"/>
              </w:rPr>
              <w:t>Voluntary risk-management framework</w:t>
            </w:r>
          </w:p>
        </w:tc>
        <w:tc>
          <w:tcPr>
            <w:tcW w:type="dxa" w:w="4320"/>
            <w:vAlign w:val="center"/>
            <w:tcMar>
              <w:top w:w="70" w:type="dxa"/>
              <w:start w:w="85" w:type="dxa"/>
              <w:bottom w:w="70" w:type="dxa"/>
              <w:end w:w="85" w:type="dxa"/>
            </w:tcMar>
          </w:tcPr>
          <w:p>
            <w:pPr>
              <w:spacing w:before="0" w:after="0"/>
            </w:pPr>
            <w:r/>
            <w:r>
              <w:rPr>
                <w:rFonts w:ascii="Aptos" w:hAnsi="Aptos"/>
                <w:b w:val="0"/>
                <w:color w:val="27343E"/>
                <w:sz w:val="15"/>
              </w:rPr>
              <w:t>Trustworthy characteristics: valid/reliable; safe; secure/resilient; accountable/transparent; explainable/interpretable; privacy-enhanced; fair with harmful bias managed.</w:t>
            </w:r>
          </w:p>
        </w:tc>
      </w:tr>
      <w:tr>
        <w:tc>
          <w:tcPr>
            <w:tcW w:type="dxa" w:w="2880"/>
            <w:vAlign w:val="center"/>
            <w:tcMar>
              <w:top w:w="70" w:type="dxa"/>
              <w:start w:w="85" w:type="dxa"/>
              <w:bottom w:w="70" w:type="dxa"/>
              <w:end w:w="85" w:type="dxa"/>
            </w:tcMar>
            <w:shd w:fill="F4F6F7"/>
          </w:tcPr>
          <w:p>
            <w:pPr>
              <w:spacing w:before="0" w:after="0"/>
            </w:pPr>
            <w:r/>
            <w:r>
              <w:rPr>
                <w:rFonts w:ascii="Aptos" w:hAnsi="Aptos"/>
                <w:b w:val="0"/>
                <w:color w:val="27343E"/>
                <w:sz w:val="15"/>
              </w:rPr>
              <w:t>ISO/IEC 42005:2025</w:t>
            </w:r>
          </w:p>
        </w:tc>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5"/>
              </w:rPr>
              <w:t>Voluntary impact-assessment guidance</w:t>
            </w:r>
          </w:p>
        </w:tc>
        <w:tc>
          <w:tcPr>
            <w:tcW w:type="dxa" w:w="4320"/>
            <w:vAlign w:val="center"/>
            <w:tcMar>
              <w:top w:w="70" w:type="dxa"/>
              <w:start w:w="85" w:type="dxa"/>
              <w:bottom w:w="70" w:type="dxa"/>
              <w:end w:w="85" w:type="dxa"/>
            </w:tcMar>
            <w:shd w:fill="F4F6F7"/>
          </w:tcPr>
          <w:p>
            <w:pPr>
              <w:spacing w:before="0" w:after="0"/>
            </w:pPr>
            <w:r/>
            <w:r>
              <w:rPr>
                <w:rFonts w:ascii="Aptos" w:hAnsi="Aptos"/>
                <w:b w:val="0"/>
                <w:color w:val="27343E"/>
                <w:sz w:val="15"/>
              </w:rPr>
              <w:t>Understand and document how AI systems and foreseeable applications may affect individuals, groups and society across the lifecycle.</w:t>
            </w:r>
          </w:p>
        </w:tc>
      </w:tr>
      <w:tr>
        <w:tc>
          <w:tcPr>
            <w:tcW w:type="dxa" w:w="2880"/>
            <w:vAlign w:val="center"/>
            <w:tcMar>
              <w:top w:w="70" w:type="dxa"/>
              <w:start w:w="85" w:type="dxa"/>
              <w:bottom w:w="70" w:type="dxa"/>
              <w:end w:w="85" w:type="dxa"/>
            </w:tcMar>
          </w:tcPr>
          <w:p>
            <w:pPr>
              <w:spacing w:before="0" w:after="0"/>
            </w:pPr>
            <w:r/>
            <w:r>
              <w:rPr>
                <w:rFonts w:ascii="Aptos" w:hAnsi="Aptos"/>
                <w:b w:val="0"/>
                <w:color w:val="27343E"/>
                <w:sz w:val="15"/>
              </w:rPr>
              <w:t>EU AI Act and other applicable law</w:t>
            </w:r>
          </w:p>
        </w:tc>
        <w:tc>
          <w:tcPr>
            <w:tcW w:type="dxa" w:w="2232"/>
            <w:vAlign w:val="center"/>
            <w:tcMar>
              <w:top w:w="70" w:type="dxa"/>
              <w:start w:w="85" w:type="dxa"/>
              <w:bottom w:w="70" w:type="dxa"/>
              <w:end w:w="85" w:type="dxa"/>
            </w:tcMar>
          </w:tcPr>
          <w:p>
            <w:pPr>
              <w:spacing w:before="0" w:after="0"/>
            </w:pPr>
            <w:r/>
            <w:r>
              <w:rPr>
                <w:rFonts w:ascii="Aptos" w:hAnsi="Aptos"/>
                <w:b w:val="0"/>
                <w:color w:val="27343E"/>
                <w:sz w:val="15"/>
              </w:rPr>
              <w:t>Binding law where applicable</w:t>
            </w:r>
          </w:p>
        </w:tc>
        <w:tc>
          <w:tcPr>
            <w:tcW w:type="dxa" w:w="4320"/>
            <w:vAlign w:val="center"/>
            <w:tcMar>
              <w:top w:w="70" w:type="dxa"/>
              <w:start w:w="85" w:type="dxa"/>
              <w:bottom w:w="70" w:type="dxa"/>
              <w:end w:w="85" w:type="dxa"/>
            </w:tcMar>
          </w:tcPr>
          <w:p>
            <w:pPr>
              <w:spacing w:before="0" w:after="0"/>
            </w:pPr>
            <w:r/>
            <w:r>
              <w:rPr>
                <w:rFonts w:ascii="Aptos" w:hAnsi="Aptos"/>
                <w:b w:val="0"/>
                <w:color w:val="27343E"/>
                <w:sz w:val="15"/>
              </w:rPr>
              <w:t>Legal obligations are screened separately. Ethical guidance cannot override or substitute mandatory legal requirements.</w:t>
            </w:r>
          </w:p>
        </w:tc>
      </w:tr>
      <w:tr>
        <w:tc>
          <w:tcPr>
            <w:tcW w:type="dxa" w:w="2880"/>
            <w:vAlign w:val="center"/>
            <w:tcMar>
              <w:top w:w="70" w:type="dxa"/>
              <w:start w:w="85" w:type="dxa"/>
              <w:bottom w:w="70" w:type="dxa"/>
              <w:end w:w="85" w:type="dxa"/>
            </w:tcMar>
            <w:shd w:fill="F4F6F7"/>
          </w:tcPr>
          <w:p>
            <w:pPr>
              <w:spacing w:before="0" w:after="0"/>
            </w:pPr>
            <w:r/>
            <w:r>
              <w:rPr>
                <w:rFonts w:ascii="Aptos" w:hAnsi="Aptos"/>
                <w:b w:val="0"/>
                <w:color w:val="27343E"/>
                <w:sz w:val="15"/>
              </w:rPr>
              <w:t>Duckworks internal governance</w:t>
            </w:r>
          </w:p>
        </w:tc>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5"/>
              </w:rPr>
              <w:t>Organizational practice</w:t>
            </w:r>
          </w:p>
        </w:tc>
        <w:tc>
          <w:tcPr>
            <w:tcW w:type="dxa" w:w="4320"/>
            <w:vAlign w:val="center"/>
            <w:tcMar>
              <w:top w:w="70" w:type="dxa"/>
              <w:start w:w="85" w:type="dxa"/>
              <w:bottom w:w="70" w:type="dxa"/>
              <w:end w:w="85" w:type="dxa"/>
            </w:tcMar>
            <w:shd w:fill="F4F6F7"/>
          </w:tcPr>
          <w:p>
            <w:pPr>
              <w:spacing w:before="0" w:after="0"/>
            </w:pPr>
            <w:r/>
            <w:r>
              <w:rPr>
                <w:rFonts w:ascii="Aptos" w:hAnsi="Aptos"/>
                <w:b w:val="0"/>
                <w:color w:val="27343E"/>
                <w:sz w:val="15"/>
              </w:rPr>
              <w:t>Risk appetite, human oversight, auditability, proportionality, evidence, change management, whistleblowing and stop-use rules.</w:t>
            </w:r>
          </w:p>
        </w:tc>
      </w:tr>
    </w:tbl>
    <w:p>
      <w:pPr>
        <w:spacing w:after="0"/>
      </w:pPr>
    </w:p>
    <w:p>
      <w:pPr>
        <w:pStyle w:val="Heading1"/>
      </w:pPr>
      <w:r>
        <w:t>4. Duckworks Ethical Assessment Method</w:t>
      </w:r>
    </w:p>
    <w:p>
      <w:pPr>
        <w:spacing w:after="100" w:line="247" w:lineRule="auto"/>
      </w:pPr>
      <w:r>
        <w:t>The ethical priority is a qualitative governance judgment, not a probability model, legal classification or 5×5 risk score. It reflects the seriousness of foreseeable ethical effects after considering affected people, vulnerability, scale, reversibility, power asymmetry, dependency, ability to understand/challenge an outcome, and the maturity of safeguards.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tcMar>
              <w:top w:w="70" w:type="dxa"/>
              <w:start w:w="85" w:type="dxa"/>
              <w:bottom w:w="70" w:type="dxa"/>
              <w:end w:w="85" w:type="dxa"/>
            </w:tcMar>
            <w:shd w:fill="173B57"/>
          </w:tcPr>
          <w:p>
            <w:pPr>
              <w:spacing w:before="0" w:after="0"/>
            </w:pPr>
            <w:r/>
            <w:r>
              <w:rPr>
                <w:rFonts w:ascii="Aptos" w:hAnsi="Aptos"/>
                <w:b/>
                <w:color w:val="FFFFFF"/>
                <w:sz w:val="15"/>
              </w:rPr>
              <w:t>Priority</w:t>
            </w:r>
          </w:p>
        </w:tc>
        <w:tc>
          <w:tcPr>
            <w:tcW w:type="dxa" w:w="5832"/>
            <w:vAlign w:val="center"/>
            <w:tcMar>
              <w:top w:w="70" w:type="dxa"/>
              <w:start w:w="85" w:type="dxa"/>
              <w:bottom w:w="70" w:type="dxa"/>
              <w:end w:w="85" w:type="dxa"/>
            </w:tcMar>
            <w:shd w:fill="173B57"/>
          </w:tcPr>
          <w:p>
            <w:pPr>
              <w:spacing w:before="0" w:after="0"/>
            </w:pPr>
            <w:r/>
            <w:r>
              <w:rPr>
                <w:rFonts w:ascii="Aptos" w:hAnsi="Aptos"/>
                <w:b/>
                <w:color w:val="FFFFFF"/>
                <w:sz w:val="15"/>
              </w:rPr>
              <w:t>Meaning</w:t>
            </w:r>
          </w:p>
        </w:tc>
        <w:tc>
          <w:tcPr>
            <w:tcW w:type="dxa" w:w="1728"/>
            <w:vAlign w:val="center"/>
            <w:tcMar>
              <w:top w:w="70" w:type="dxa"/>
              <w:start w:w="85" w:type="dxa"/>
              <w:bottom w:w="70" w:type="dxa"/>
              <w:end w:w="85" w:type="dxa"/>
            </w:tcMar>
            <w:shd w:fill="173B57"/>
          </w:tcPr>
          <w:p>
            <w:pPr>
              <w:spacing w:before="0" w:after="0"/>
            </w:pPr>
            <w:r/>
            <w:r>
              <w:rPr>
                <w:rFonts w:ascii="Aptos" w:hAnsi="Aptos"/>
                <w:b/>
                <w:color w:val="FFFFFF"/>
                <w:sz w:val="15"/>
              </w:rPr>
              <w:t>Governance response</w:t>
            </w:r>
          </w:p>
        </w:tc>
      </w:tr>
      <w:tr>
        <w:tc>
          <w:tcPr>
            <w:tcW w:type="dxa" w:w="1800"/>
            <w:vAlign w:val="center"/>
            <w:tcMar>
              <w:top w:w="70" w:type="dxa"/>
              <w:start w:w="85" w:type="dxa"/>
              <w:bottom w:w="70" w:type="dxa"/>
              <w:end w:w="85" w:type="dxa"/>
            </w:tcMar>
          </w:tcPr>
          <w:p>
            <w:pPr>
              <w:spacing w:before="0" w:after="0"/>
            </w:pPr>
            <w:r/>
            <w:r>
              <w:rPr>
                <w:rFonts w:ascii="Aptos" w:hAnsi="Aptos"/>
                <w:b w:val="0"/>
                <w:color w:val="27343E"/>
                <w:sz w:val="15"/>
              </w:rPr>
              <w:t>E1 — Limited</w:t>
            </w:r>
          </w:p>
        </w:tc>
        <w:tc>
          <w:tcPr>
            <w:tcW w:type="dxa" w:w="5832"/>
            <w:vAlign w:val="center"/>
            <w:tcMar>
              <w:top w:w="70" w:type="dxa"/>
              <w:start w:w="85" w:type="dxa"/>
              <w:bottom w:w="70" w:type="dxa"/>
              <w:end w:w="85" w:type="dxa"/>
            </w:tcMar>
          </w:tcPr>
          <w:p>
            <w:pPr>
              <w:spacing w:before="0" w:after="0"/>
            </w:pPr>
            <w:r/>
            <w:r>
              <w:rPr>
                <w:rFonts w:ascii="Aptos" w:hAnsi="Aptos"/>
                <w:b w:val="0"/>
                <w:color w:val="27343E"/>
                <w:sz w:val="15"/>
              </w:rPr>
              <w:t>Low ethical tension in current bounded use; impacts are readily reversible and affected people retain meaningful agency.</w:t>
            </w:r>
          </w:p>
        </w:tc>
        <w:tc>
          <w:tcPr>
            <w:tcW w:type="dxa" w:w="1728"/>
            <w:vAlign w:val="center"/>
            <w:tcMar>
              <w:top w:w="70" w:type="dxa"/>
              <w:start w:w="85" w:type="dxa"/>
              <w:bottom w:w="70" w:type="dxa"/>
              <w:end w:w="85" w:type="dxa"/>
            </w:tcMar>
          </w:tcPr>
          <w:p>
            <w:pPr>
              <w:spacing w:before="0" w:after="0"/>
            </w:pPr>
            <w:r/>
            <w:r>
              <w:rPr>
                <w:rFonts w:ascii="Aptos" w:hAnsi="Aptos"/>
                <w:b w:val="0"/>
                <w:color w:val="27343E"/>
                <w:sz w:val="15"/>
              </w:rPr>
              <w:t>Routine controls and monitoring.</w:t>
            </w:r>
          </w:p>
        </w:tc>
      </w:tr>
      <w:tr>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5"/>
              </w:rPr>
              <w:t>E2 — Material</w:t>
            </w:r>
          </w:p>
        </w:tc>
        <w:tc>
          <w:tcPr>
            <w:tcW w:type="dxa" w:w="5832"/>
            <w:vAlign w:val="center"/>
            <w:tcMar>
              <w:top w:w="70" w:type="dxa"/>
              <w:start w:w="85" w:type="dxa"/>
              <w:bottom w:w="70" w:type="dxa"/>
              <w:end w:w="85" w:type="dxa"/>
            </w:tcMar>
            <w:shd w:fill="F4F6F7"/>
          </w:tcPr>
          <w:p>
            <w:pPr>
              <w:spacing w:before="0" w:after="0"/>
            </w:pPr>
            <w:r/>
            <w:r>
              <w:rPr>
                <w:rFonts w:ascii="Aptos" w:hAnsi="Aptos"/>
                <w:b w:val="0"/>
                <w:color w:val="27343E"/>
                <w:sz w:val="15"/>
              </w:rPr>
              <w:t>Meaningful trade-offs or indirect impacts require documented safeguards, transparency and monitoring.</w:t>
            </w:r>
          </w:p>
        </w:tc>
        <w:tc>
          <w:tcPr>
            <w:tcW w:type="dxa" w:w="1728"/>
            <w:vAlign w:val="center"/>
            <w:tcMar>
              <w:top w:w="70" w:type="dxa"/>
              <w:start w:w="85" w:type="dxa"/>
              <w:bottom w:w="70" w:type="dxa"/>
              <w:end w:w="85" w:type="dxa"/>
            </w:tcMar>
            <w:shd w:fill="F4F6F7"/>
          </w:tcPr>
          <w:p>
            <w:pPr>
              <w:spacing w:before="0" w:after="0"/>
            </w:pPr>
            <w:r/>
            <w:r>
              <w:rPr>
                <w:rFonts w:ascii="Aptos" w:hAnsi="Aptos"/>
                <w:b w:val="0"/>
                <w:color w:val="27343E"/>
                <w:sz w:val="15"/>
              </w:rPr>
              <w:t>Owner + AI Governance review.</w:t>
            </w:r>
          </w:p>
        </w:tc>
      </w:tr>
      <w:tr>
        <w:tc>
          <w:tcPr>
            <w:tcW w:type="dxa" w:w="1800"/>
            <w:vAlign w:val="center"/>
            <w:tcMar>
              <w:top w:w="70" w:type="dxa"/>
              <w:start w:w="85" w:type="dxa"/>
              <w:bottom w:w="70" w:type="dxa"/>
              <w:end w:w="85" w:type="dxa"/>
            </w:tcMar>
          </w:tcPr>
          <w:p>
            <w:pPr>
              <w:spacing w:before="0" w:after="0"/>
            </w:pPr>
            <w:r/>
            <w:r>
              <w:rPr>
                <w:rFonts w:ascii="Aptos" w:hAnsi="Aptos"/>
                <w:b w:val="0"/>
                <w:color w:val="27343E"/>
                <w:sz w:val="15"/>
              </w:rPr>
              <w:t>E3 — Significant</w:t>
            </w:r>
          </w:p>
        </w:tc>
        <w:tc>
          <w:tcPr>
            <w:tcW w:type="dxa" w:w="5832"/>
            <w:vAlign w:val="center"/>
            <w:tcMar>
              <w:top w:w="70" w:type="dxa"/>
              <w:start w:w="85" w:type="dxa"/>
              <w:bottom w:w="70" w:type="dxa"/>
              <w:end w:w="85" w:type="dxa"/>
            </w:tcMar>
          </w:tcPr>
          <w:p>
            <w:pPr>
              <w:spacing w:before="0" w:after="0"/>
            </w:pPr>
            <w:r/>
            <w:r>
              <w:rPr>
                <w:rFonts w:ascii="Aptos" w:hAnsi="Aptos"/>
                <w:b w:val="0"/>
                <w:color w:val="27343E"/>
                <w:sz w:val="15"/>
              </w:rPr>
              <w:t>Potential serious effects on people, safety, privacy, workforce, customer reliance or accountability; enhanced evidence is needed.</w:t>
            </w:r>
          </w:p>
        </w:tc>
        <w:tc>
          <w:tcPr>
            <w:tcW w:type="dxa" w:w="1728"/>
            <w:vAlign w:val="center"/>
            <w:tcMar>
              <w:top w:w="70" w:type="dxa"/>
              <w:start w:w="85" w:type="dxa"/>
              <w:bottom w:w="70" w:type="dxa"/>
              <w:end w:w="85" w:type="dxa"/>
            </w:tcMar>
          </w:tcPr>
          <w:p>
            <w:pPr>
              <w:spacing w:before="0" w:after="0"/>
            </w:pPr>
            <w:r/>
            <w:r>
              <w:rPr>
                <w:rFonts w:ascii="Aptos" w:hAnsi="Aptos"/>
                <w:b w:val="0"/>
                <w:color w:val="27343E"/>
                <w:sz w:val="15"/>
              </w:rPr>
              <w:t>Enhanced review; restricted/conditional deployment where gaps remain.</w:t>
            </w:r>
          </w:p>
        </w:tc>
      </w:tr>
      <w:tr>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5"/>
              </w:rPr>
              <w:t>E4 — Severe</w:t>
            </w:r>
          </w:p>
        </w:tc>
        <w:tc>
          <w:tcPr>
            <w:tcW w:type="dxa" w:w="5832"/>
            <w:vAlign w:val="center"/>
            <w:tcMar>
              <w:top w:w="70" w:type="dxa"/>
              <w:start w:w="85" w:type="dxa"/>
              <w:bottom w:w="70" w:type="dxa"/>
              <w:end w:w="85" w:type="dxa"/>
            </w:tcMar>
            <w:shd w:fill="F4F6F7"/>
          </w:tcPr>
          <w:p>
            <w:pPr>
              <w:spacing w:before="0" w:after="0"/>
            </w:pPr>
            <w:r/>
            <w:r>
              <w:rPr>
                <w:rFonts w:ascii="Aptos" w:hAnsi="Aptos"/>
                <w:b w:val="0"/>
                <w:color w:val="27343E"/>
                <w:sz w:val="15"/>
              </w:rPr>
              <w:t>Current design or governance can materially impair rights/opportunity, cause serious harm, or lacks accountable/knowable boundaries.</w:t>
            </w:r>
          </w:p>
        </w:tc>
        <w:tc>
          <w:tcPr>
            <w:tcW w:type="dxa" w:w="1728"/>
            <w:vAlign w:val="center"/>
            <w:tcMar>
              <w:top w:w="70" w:type="dxa"/>
              <w:start w:w="85" w:type="dxa"/>
              <w:bottom w:w="70" w:type="dxa"/>
              <w:end w:w="85" w:type="dxa"/>
            </w:tcMar>
            <w:shd w:fill="F4F6F7"/>
          </w:tcPr>
          <w:p>
            <w:pPr>
              <w:spacing w:before="0" w:after="0"/>
            </w:pPr>
            <w:r/>
            <w:r>
              <w:rPr>
                <w:rFonts w:ascii="Aptos" w:hAnsi="Aptos"/>
                <w:b w:val="0"/>
                <w:color w:val="27343E"/>
                <w:sz w:val="15"/>
              </w:rPr>
              <w:t>Do not deploy / contain until blocking issues are treated.</w:t>
            </w:r>
          </w:p>
        </w:tc>
      </w:tr>
    </w:tbl>
    <w:p>
      <w:pPr>
        <w:spacing w:after="0"/>
      </w:pPr>
    </w:p>
    <w:p>
      <w:pPr>
        <w:pStyle w:val="Heading2"/>
      </w:pPr>
      <w:r>
        <w:t>4.1 Ethical dimensions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84"/>
            <w:vAlign w:val="center"/>
            <w:tcMar>
              <w:top w:w="70" w:type="dxa"/>
              <w:start w:w="85" w:type="dxa"/>
              <w:bottom w:w="70" w:type="dxa"/>
              <w:end w:w="85" w:type="dxa"/>
            </w:tcMar>
            <w:shd w:fill="173B57"/>
          </w:tcPr>
          <w:p>
            <w:pPr>
              <w:spacing w:before="0" w:after="0"/>
            </w:pPr>
            <w:r/>
            <w:r>
              <w:rPr>
                <w:rFonts w:ascii="Aptos" w:hAnsi="Aptos"/>
                <w:b/>
                <w:color w:val="FFFFFF"/>
                <w:sz w:val="15"/>
              </w:rPr>
              <w:t>Dimension</w:t>
            </w:r>
          </w:p>
        </w:tc>
        <w:tc>
          <w:tcPr>
            <w:tcW w:type="dxa" w:w="6048"/>
            <w:vAlign w:val="center"/>
            <w:tcMar>
              <w:top w:w="70" w:type="dxa"/>
              <w:start w:w="85" w:type="dxa"/>
              <w:bottom w:w="70" w:type="dxa"/>
              <w:end w:w="85" w:type="dxa"/>
            </w:tcMar>
            <w:shd w:fill="173B57"/>
          </w:tcPr>
          <w:p>
            <w:pPr>
              <w:spacing w:before="0" w:after="0"/>
            </w:pPr>
            <w:r/>
            <w:r>
              <w:rPr>
                <w:rFonts w:ascii="Aptos" w:hAnsi="Aptos"/>
                <w:b/>
                <w:color w:val="FFFFFF"/>
                <w:sz w:val="15"/>
              </w:rPr>
              <w:t>Assessment question</w:t>
            </w:r>
          </w:p>
        </w:tc>
      </w:tr>
      <w:tr>
        <w:tc>
          <w:tcPr>
            <w:tcW w:type="dxa" w:w="3384"/>
            <w:vAlign w:val="center"/>
            <w:tcMar>
              <w:top w:w="70" w:type="dxa"/>
              <w:start w:w="85" w:type="dxa"/>
              <w:bottom w:w="70" w:type="dxa"/>
              <w:end w:w="85" w:type="dxa"/>
            </w:tcMar>
          </w:tcPr>
          <w:p>
            <w:pPr>
              <w:spacing w:before="0" w:after="0"/>
            </w:pPr>
            <w:r/>
            <w:r>
              <w:rPr>
                <w:rFonts w:ascii="Aptos" w:hAnsi="Aptos"/>
                <w:b w:val="0"/>
                <w:color w:val="27343E"/>
                <w:sz w:val="15"/>
              </w:rPr>
              <w:t>D1 Human agency, autonomy &amp; dignity</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5"/>
              </w:rPr>
              <w:t>Does AI empower or constrain people? Is human authority meaningful? Is manipulation or dehumanizing treatment avoided?</w:t>
            </w:r>
          </w:p>
        </w:tc>
      </w:tr>
      <w:tr>
        <w:tc>
          <w:tcPr>
            <w:tcW w:type="dxa" w:w="3384"/>
            <w:vAlign w:val="center"/>
            <w:tcMar>
              <w:top w:w="70" w:type="dxa"/>
              <w:start w:w="85" w:type="dxa"/>
              <w:bottom w:w="70" w:type="dxa"/>
              <w:end w:w="85" w:type="dxa"/>
            </w:tcMar>
            <w:shd w:fill="F4F6F7"/>
          </w:tcPr>
          <w:p>
            <w:pPr>
              <w:spacing w:before="0" w:after="0"/>
            </w:pPr>
            <w:r/>
            <w:r>
              <w:rPr>
                <w:rFonts w:ascii="Aptos" w:hAnsi="Aptos"/>
                <w:b w:val="0"/>
                <w:color w:val="27343E"/>
                <w:sz w:val="15"/>
              </w:rPr>
              <w:t>D2 Fairness, non-discrimination &amp; inclusion</w:t>
            </w:r>
          </w:p>
        </w:tc>
        <w:tc>
          <w:tcPr>
            <w:tcW w:type="dxa" w:w="6048"/>
            <w:vAlign w:val="center"/>
            <w:tcMar>
              <w:top w:w="70" w:type="dxa"/>
              <w:start w:w="85" w:type="dxa"/>
              <w:bottom w:w="70" w:type="dxa"/>
              <w:end w:w="85" w:type="dxa"/>
            </w:tcMar>
            <w:shd w:fill="F4F6F7"/>
          </w:tcPr>
          <w:p>
            <w:pPr>
              <w:spacing w:before="0" w:after="0"/>
            </w:pPr>
            <w:r/>
            <w:r>
              <w:rPr>
                <w:rFonts w:ascii="Aptos" w:hAnsi="Aptos"/>
                <w:b w:val="0"/>
                <w:color w:val="27343E"/>
                <w:sz w:val="15"/>
              </w:rPr>
              <w:t>Are criteria job/task relevant? Are groups treated fairly? Is accessibility designed in? Are vulnerable groups disproportionately burdened?</w:t>
            </w:r>
          </w:p>
        </w:tc>
      </w:tr>
      <w:tr>
        <w:tc>
          <w:tcPr>
            <w:tcW w:type="dxa" w:w="3384"/>
            <w:vAlign w:val="center"/>
            <w:tcMar>
              <w:top w:w="70" w:type="dxa"/>
              <w:start w:w="85" w:type="dxa"/>
              <w:bottom w:w="70" w:type="dxa"/>
              <w:end w:w="85" w:type="dxa"/>
            </w:tcMar>
          </w:tcPr>
          <w:p>
            <w:pPr>
              <w:spacing w:before="0" w:after="0"/>
            </w:pPr>
            <w:r/>
            <w:r>
              <w:rPr>
                <w:rFonts w:ascii="Aptos" w:hAnsi="Aptos"/>
                <w:b w:val="0"/>
                <w:color w:val="27343E"/>
                <w:sz w:val="15"/>
              </w:rPr>
              <w:t>D3 Privacy, data dignity &amp; information rights</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5"/>
              </w:rPr>
              <w:t>Is data use proportionate, expected, secure and limited? Are sensitive inferences or surveillance avoided?</w:t>
            </w:r>
          </w:p>
        </w:tc>
      </w:tr>
      <w:tr>
        <w:tc>
          <w:tcPr>
            <w:tcW w:type="dxa" w:w="3384"/>
            <w:vAlign w:val="center"/>
            <w:tcMar>
              <w:top w:w="70" w:type="dxa"/>
              <w:start w:w="85" w:type="dxa"/>
              <w:bottom w:w="70" w:type="dxa"/>
              <w:end w:w="85" w:type="dxa"/>
            </w:tcMar>
            <w:shd w:fill="F4F6F7"/>
          </w:tcPr>
          <w:p>
            <w:pPr>
              <w:spacing w:before="0" w:after="0"/>
            </w:pPr>
            <w:r/>
            <w:r>
              <w:rPr>
                <w:rFonts w:ascii="Aptos" w:hAnsi="Aptos"/>
                <w:b w:val="0"/>
                <w:color w:val="27343E"/>
                <w:sz w:val="15"/>
              </w:rPr>
              <w:t>D4 Transparency, explainability &amp; contestability</w:t>
            </w:r>
          </w:p>
        </w:tc>
        <w:tc>
          <w:tcPr>
            <w:tcW w:type="dxa" w:w="6048"/>
            <w:vAlign w:val="center"/>
            <w:tcMar>
              <w:top w:w="70" w:type="dxa"/>
              <w:start w:w="85" w:type="dxa"/>
              <w:bottom w:w="70" w:type="dxa"/>
              <w:end w:w="85" w:type="dxa"/>
            </w:tcMar>
            <w:shd w:fill="F4F6F7"/>
          </w:tcPr>
          <w:p>
            <w:pPr>
              <w:spacing w:before="0" w:after="0"/>
            </w:pPr>
            <w:r/>
            <w:r>
              <w:rPr>
                <w:rFonts w:ascii="Aptos" w:hAnsi="Aptos"/>
                <w:b w:val="0"/>
                <w:color w:val="27343E"/>
                <w:sz w:val="15"/>
              </w:rPr>
              <w:t>Can users/affected people understand AI involvement, capabilities, limitations, basis of material outcomes and routes to challenge?</w:t>
            </w:r>
          </w:p>
        </w:tc>
      </w:tr>
      <w:tr>
        <w:tc>
          <w:tcPr>
            <w:tcW w:type="dxa" w:w="3384"/>
            <w:vAlign w:val="center"/>
            <w:tcMar>
              <w:top w:w="70" w:type="dxa"/>
              <w:start w:w="85" w:type="dxa"/>
              <w:bottom w:w="70" w:type="dxa"/>
              <w:end w:w="85" w:type="dxa"/>
            </w:tcMar>
          </w:tcPr>
          <w:p>
            <w:pPr>
              <w:spacing w:before="0" w:after="0"/>
            </w:pPr>
            <w:r/>
            <w:r>
              <w:rPr>
                <w:rFonts w:ascii="Aptos" w:hAnsi="Aptos"/>
                <w:b w:val="0"/>
                <w:color w:val="27343E"/>
                <w:sz w:val="15"/>
              </w:rPr>
              <w:t>D5 Robustness, safety &amp; non-maleficence</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5"/>
              </w:rPr>
              <w:t>Can errors, adversarial abuse or unsafe reliance cause harm? Are fallbacks, validation and stop-use mechanisms effective?</w:t>
            </w:r>
          </w:p>
        </w:tc>
      </w:tr>
      <w:tr>
        <w:tc>
          <w:tcPr>
            <w:tcW w:type="dxa" w:w="3384"/>
            <w:vAlign w:val="center"/>
            <w:tcMar>
              <w:top w:w="70" w:type="dxa"/>
              <w:start w:w="85" w:type="dxa"/>
              <w:bottom w:w="70" w:type="dxa"/>
              <w:end w:w="85" w:type="dxa"/>
            </w:tcMar>
            <w:shd w:fill="F4F6F7"/>
          </w:tcPr>
          <w:p>
            <w:pPr>
              <w:spacing w:before="0" w:after="0"/>
            </w:pPr>
            <w:r/>
            <w:r>
              <w:rPr>
                <w:rFonts w:ascii="Aptos" w:hAnsi="Aptos"/>
                <w:b w:val="0"/>
                <w:color w:val="27343E"/>
                <w:sz w:val="15"/>
              </w:rPr>
              <w:t>D6 Accountability, auditability &amp; remedy</w:t>
            </w:r>
          </w:p>
        </w:tc>
        <w:tc>
          <w:tcPr>
            <w:tcW w:type="dxa" w:w="6048"/>
            <w:vAlign w:val="center"/>
            <w:tcMar>
              <w:top w:w="70" w:type="dxa"/>
              <w:start w:w="85" w:type="dxa"/>
              <w:bottom w:w="70" w:type="dxa"/>
              <w:end w:w="85" w:type="dxa"/>
            </w:tcMar>
            <w:shd w:fill="F4F6F7"/>
          </w:tcPr>
          <w:p>
            <w:pPr>
              <w:spacing w:before="0" w:after="0"/>
            </w:pPr>
            <w:r/>
            <w:r>
              <w:rPr>
                <w:rFonts w:ascii="Aptos" w:hAnsi="Aptos"/>
                <w:b w:val="0"/>
                <w:color w:val="27343E"/>
                <w:sz w:val="15"/>
              </w:rPr>
              <w:t>Is ownership clear? Can decisions and controls be evidenced? Can adverse outcomes be corrected or remedied?</w:t>
            </w:r>
          </w:p>
        </w:tc>
      </w:tr>
      <w:tr>
        <w:tc>
          <w:tcPr>
            <w:tcW w:type="dxa" w:w="3384"/>
            <w:vAlign w:val="center"/>
            <w:tcMar>
              <w:top w:w="70" w:type="dxa"/>
              <w:start w:w="85" w:type="dxa"/>
              <w:bottom w:w="70" w:type="dxa"/>
              <w:end w:w="85" w:type="dxa"/>
            </w:tcMar>
          </w:tcPr>
          <w:p>
            <w:pPr>
              <w:spacing w:before="0" w:after="0"/>
            </w:pPr>
            <w:r/>
            <w:r>
              <w:rPr>
                <w:rFonts w:ascii="Aptos" w:hAnsi="Aptos"/>
                <w:b w:val="0"/>
                <w:color w:val="27343E"/>
                <w:sz w:val="15"/>
              </w:rPr>
              <w:t>D7 Societal, workforce &amp; environmental well-being</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5"/>
              </w:rPr>
              <w:t>Does AI improve well-being without unacceptable deskilling, workload, exclusion, waste, environmental cost or harmful power concentration?</w:t>
            </w:r>
          </w:p>
        </w:tc>
      </w:tr>
    </w:tbl>
    <w:p>
      <w:pPr>
        <w:spacing w:after="0"/>
      </w:pPr>
    </w:p>
    <w:p>
      <w:r>
        <w:br w:type="page"/>
      </w:r>
    </w:p>
    <w:p>
      <w:pPr>
        <w:pStyle w:val="Heading1"/>
      </w:pPr>
      <w:r>
        <w:t>5. Stakeholder and Power-Asymmetry Analysis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vAlign w:val="center"/>
            <w:tcMar>
              <w:top w:w="70" w:type="dxa"/>
              <w:start w:w="85" w:type="dxa"/>
              <w:bottom w:w="70" w:type="dxa"/>
              <w:end w:w="85" w:type="dxa"/>
            </w:tcMar>
            <w:shd w:fill="173B57"/>
          </w:tcPr>
          <w:p>
            <w:pPr>
              <w:spacing w:before="0" w:after="0"/>
            </w:pPr>
            <w:r/>
            <w:r>
              <w:rPr>
                <w:rFonts w:ascii="Aptos" w:hAnsi="Aptos"/>
                <w:b/>
                <w:color w:val="FFFFFF"/>
                <w:sz w:val="14"/>
              </w:rPr>
              <w:t>Stakeholder</w:t>
            </w:r>
          </w:p>
        </w:tc>
        <w:tc>
          <w:tcPr>
            <w:tcW w:type="dxa" w:w="2304"/>
            <w:vAlign w:val="center"/>
            <w:tcMar>
              <w:top w:w="70" w:type="dxa"/>
              <w:start w:w="85" w:type="dxa"/>
              <w:bottom w:w="70" w:type="dxa"/>
              <w:end w:w="85" w:type="dxa"/>
            </w:tcMar>
            <w:shd w:fill="173B57"/>
          </w:tcPr>
          <w:p>
            <w:pPr>
              <w:spacing w:before="0" w:after="0"/>
            </w:pPr>
            <w:r/>
            <w:r>
              <w:rPr>
                <w:rFonts w:ascii="Aptos" w:hAnsi="Aptos"/>
                <w:b/>
                <w:color w:val="FFFFFF"/>
                <w:sz w:val="14"/>
              </w:rPr>
              <w:t>Relevant systems</w:t>
            </w:r>
          </w:p>
        </w:tc>
        <w:tc>
          <w:tcPr>
            <w:tcW w:type="dxa" w:w="1512"/>
            <w:vAlign w:val="center"/>
            <w:tcMar>
              <w:top w:w="70" w:type="dxa"/>
              <w:start w:w="85" w:type="dxa"/>
              <w:bottom w:w="70" w:type="dxa"/>
              <w:end w:w="85" w:type="dxa"/>
            </w:tcMar>
            <w:shd w:fill="173B57"/>
          </w:tcPr>
          <w:p>
            <w:pPr>
              <w:spacing w:before="0" w:after="0"/>
            </w:pPr>
            <w:r/>
            <w:r>
              <w:rPr>
                <w:rFonts w:ascii="Aptos" w:hAnsi="Aptos"/>
                <w:b/>
                <w:color w:val="FFFFFF"/>
                <w:sz w:val="14"/>
              </w:rPr>
              <w:t>Sensitivity</w:t>
            </w:r>
          </w:p>
        </w:tc>
        <w:tc>
          <w:tcPr>
            <w:tcW w:type="dxa" w:w="4320"/>
            <w:vAlign w:val="center"/>
            <w:tcMar>
              <w:top w:w="70" w:type="dxa"/>
              <w:start w:w="85" w:type="dxa"/>
              <w:bottom w:w="70" w:type="dxa"/>
              <w:end w:w="85" w:type="dxa"/>
            </w:tcMar>
            <w:shd w:fill="173B57"/>
          </w:tcPr>
          <w:p>
            <w:pPr>
              <w:spacing w:before="0" w:after="0"/>
            </w:pPr>
            <w:r/>
            <w:r>
              <w:rPr>
                <w:rFonts w:ascii="Aptos" w:hAnsi="Aptos"/>
                <w:b/>
                <w:color w:val="FFFFFF"/>
                <w:sz w:val="14"/>
              </w:rPr>
              <w:t>Power / dependency observation</w:t>
            </w:r>
          </w:p>
        </w:tc>
      </w:tr>
      <w:tr>
        <w:tc>
          <w:tcPr>
            <w:tcW w:type="dxa" w:w="2232"/>
            <w:vAlign w:val="center"/>
            <w:tcMar>
              <w:top w:w="70" w:type="dxa"/>
              <w:start w:w="85" w:type="dxa"/>
              <w:bottom w:w="70" w:type="dxa"/>
              <w:end w:w="85" w:type="dxa"/>
            </w:tcMar>
          </w:tcPr>
          <w:p>
            <w:pPr>
              <w:spacing w:before="0" w:after="0"/>
            </w:pPr>
            <w:r/>
            <w:r>
              <w:rPr>
                <w:rFonts w:ascii="Aptos" w:hAnsi="Aptos"/>
                <w:b w:val="0"/>
                <w:color w:val="27343E"/>
                <w:sz w:val="14"/>
              </w:rPr>
              <w:t>Job applicants / internal candidates</w:t>
            </w:r>
          </w:p>
        </w:tc>
        <w:tc>
          <w:tcPr>
            <w:tcW w:type="dxa" w:w="2304"/>
            <w:vAlign w:val="center"/>
            <w:tcMar>
              <w:top w:w="70" w:type="dxa"/>
              <w:start w:w="85" w:type="dxa"/>
              <w:bottom w:w="70" w:type="dxa"/>
              <w:end w:w="85" w:type="dxa"/>
            </w:tcMar>
          </w:tcPr>
          <w:p>
            <w:pPr>
              <w:spacing w:before="0" w:after="0"/>
            </w:pPr>
            <w:r/>
            <w:r>
              <w:rPr>
                <w:rFonts w:ascii="Aptos" w:hAnsi="Aptos"/>
                <w:b w:val="0"/>
                <w:color w:val="27343E"/>
                <w:sz w:val="14"/>
              </w:rPr>
              <w:t>DuckTalent</w:t>
            </w:r>
          </w:p>
        </w:tc>
        <w:tc>
          <w:tcPr>
            <w:tcW w:type="dxa" w:w="1512"/>
            <w:vAlign w:val="center"/>
            <w:tcMar>
              <w:top w:w="70" w:type="dxa"/>
              <w:start w:w="85" w:type="dxa"/>
              <w:bottom w:w="70" w:type="dxa"/>
              <w:end w:w="85" w:type="dxa"/>
            </w:tcMar>
          </w:tcPr>
          <w:p>
            <w:pPr>
              <w:spacing w:before="0" w:after="0"/>
            </w:pPr>
            <w:r/>
            <w:r>
              <w:rPr>
                <w:rFonts w:ascii="Aptos" w:hAnsi="Aptos"/>
                <w:b w:val="0"/>
                <w:color w:val="27343E"/>
                <w:sz w:val="14"/>
              </w:rPr>
              <w:t>High</w:t>
            </w:r>
          </w:p>
        </w:tc>
        <w:tc>
          <w:tcPr>
            <w:tcW w:type="dxa" w:w="4320"/>
            <w:vAlign w:val="center"/>
            <w:tcMar>
              <w:top w:w="70" w:type="dxa"/>
              <w:start w:w="85" w:type="dxa"/>
              <w:bottom w:w="70" w:type="dxa"/>
              <w:end w:w="85" w:type="dxa"/>
            </w:tcMar>
          </w:tcPr>
          <w:p>
            <w:pPr>
              <w:spacing w:before="0" w:after="0"/>
            </w:pPr>
            <w:r/>
            <w:r>
              <w:rPr>
                <w:rFonts w:ascii="Aptos" w:hAnsi="Aptos"/>
                <w:b w:val="0"/>
                <w:color w:val="27343E"/>
                <w:sz w:val="14"/>
              </w:rPr>
              <w:t>Depend on Duckworks for access to employment; limited visibility into ranking and limited bargaining power.</w:t>
            </w:r>
          </w:p>
        </w:tc>
      </w:tr>
      <w:tr>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4"/>
              </w:rPr>
              <w:t>Customers / product users</w:t>
            </w:r>
          </w:p>
        </w:tc>
        <w:tc>
          <w:tcPr>
            <w:tcW w:type="dxa" w:w="2304"/>
            <w:vAlign w:val="center"/>
            <w:tcMar>
              <w:top w:w="70" w:type="dxa"/>
              <w:start w:w="85" w:type="dxa"/>
              <w:bottom w:w="70" w:type="dxa"/>
              <w:end w:w="85" w:type="dxa"/>
            </w:tcMar>
            <w:shd w:fill="F4F6F7"/>
          </w:tcPr>
          <w:p>
            <w:pPr>
              <w:spacing w:before="0" w:after="0"/>
            </w:pPr>
            <w:r/>
            <w:r>
              <w:rPr>
                <w:rFonts w:ascii="Aptos" w:hAnsi="Aptos"/>
                <w:b w:val="0"/>
                <w:color w:val="27343E"/>
                <w:sz w:val="14"/>
              </w:rPr>
              <w:t>QuackBot; DuckDesign/WingInspect indirectly</w:t>
            </w:r>
          </w:p>
        </w:tc>
        <w:tc>
          <w:tcPr>
            <w:tcW w:type="dxa" w:w="1512"/>
            <w:vAlign w:val="center"/>
            <w:tcMar>
              <w:top w:w="70" w:type="dxa"/>
              <w:start w:w="85" w:type="dxa"/>
              <w:bottom w:w="70" w:type="dxa"/>
              <w:end w:w="85" w:type="dxa"/>
            </w:tcMar>
            <w:shd w:fill="F4F6F7"/>
          </w:tcPr>
          <w:p>
            <w:pPr>
              <w:spacing w:before="0" w:after="0"/>
            </w:pPr>
            <w:r/>
            <w:r>
              <w:rPr>
                <w:rFonts w:ascii="Aptos" w:hAnsi="Aptos"/>
                <w:b w:val="0"/>
                <w:color w:val="27343E"/>
                <w:sz w:val="14"/>
              </w:rPr>
              <w:t>Medium-High</w:t>
            </w:r>
          </w:p>
        </w:tc>
        <w:tc>
          <w:tcPr>
            <w:tcW w:type="dxa" w:w="4320"/>
            <w:vAlign w:val="center"/>
            <w:tcMar>
              <w:top w:w="70" w:type="dxa"/>
              <w:start w:w="85" w:type="dxa"/>
              <w:bottom w:w="70" w:type="dxa"/>
              <w:end w:w="85" w:type="dxa"/>
            </w:tcMar>
            <w:shd w:fill="F4F6F7"/>
          </w:tcPr>
          <w:p>
            <w:pPr>
              <w:spacing w:before="0" w:after="0"/>
            </w:pPr>
            <w:r/>
            <w:r>
              <w:rPr>
                <w:rFonts w:ascii="Aptos" w:hAnsi="Aptos"/>
                <w:b w:val="0"/>
                <w:color w:val="27343E"/>
                <w:sz w:val="14"/>
              </w:rPr>
              <w:t>May rely on technical guidance or product quality without seeing underlying AI limitations.</w:t>
            </w:r>
          </w:p>
        </w:tc>
      </w:tr>
      <w:tr>
        <w:tc>
          <w:tcPr>
            <w:tcW w:type="dxa" w:w="2232"/>
            <w:vAlign w:val="center"/>
            <w:tcMar>
              <w:top w:w="70" w:type="dxa"/>
              <w:start w:w="85" w:type="dxa"/>
              <w:bottom w:w="70" w:type="dxa"/>
              <w:end w:w="85" w:type="dxa"/>
            </w:tcMar>
          </w:tcPr>
          <w:p>
            <w:pPr>
              <w:spacing w:before="0" w:after="0"/>
            </w:pPr>
            <w:r/>
            <w:r>
              <w:rPr>
                <w:rFonts w:ascii="Aptos" w:hAnsi="Aptos"/>
                <w:b w:val="0"/>
                <w:color w:val="27343E"/>
                <w:sz w:val="14"/>
              </w:rPr>
              <w:t>Employees</w:t>
            </w:r>
          </w:p>
        </w:tc>
        <w:tc>
          <w:tcPr>
            <w:tcW w:type="dxa" w:w="2304"/>
            <w:vAlign w:val="center"/>
            <w:tcMar>
              <w:top w:w="70" w:type="dxa"/>
              <w:start w:w="85" w:type="dxa"/>
              <w:bottom w:w="70" w:type="dxa"/>
              <w:end w:w="85" w:type="dxa"/>
            </w:tcMar>
          </w:tcPr>
          <w:p>
            <w:pPr>
              <w:spacing w:before="0" w:after="0"/>
            </w:pPr>
            <w:r/>
            <w:r>
              <w:rPr>
                <w:rFonts w:ascii="Aptos" w:hAnsi="Aptos"/>
                <w:b w:val="0"/>
                <w:color w:val="27343E"/>
                <w:sz w:val="14"/>
              </w:rPr>
              <w:t>PondGPT; shadow AI; workforce AI</w:t>
            </w:r>
          </w:p>
        </w:tc>
        <w:tc>
          <w:tcPr>
            <w:tcW w:type="dxa" w:w="1512"/>
            <w:vAlign w:val="center"/>
            <w:tcMar>
              <w:top w:w="70" w:type="dxa"/>
              <w:start w:w="85" w:type="dxa"/>
              <w:bottom w:w="70" w:type="dxa"/>
              <w:end w:w="85" w:type="dxa"/>
            </w:tcMar>
          </w:tcPr>
          <w:p>
            <w:pPr>
              <w:spacing w:before="0" w:after="0"/>
            </w:pPr>
            <w:r/>
            <w:r>
              <w:rPr>
                <w:rFonts w:ascii="Aptos" w:hAnsi="Aptos"/>
                <w:b w:val="0"/>
                <w:color w:val="27343E"/>
                <w:sz w:val="14"/>
              </w:rPr>
              <w:t>Medium</w:t>
            </w:r>
          </w:p>
        </w:tc>
        <w:tc>
          <w:tcPr>
            <w:tcW w:type="dxa" w:w="4320"/>
            <w:vAlign w:val="center"/>
            <w:tcMar>
              <w:top w:w="70" w:type="dxa"/>
              <w:start w:w="85" w:type="dxa"/>
              <w:bottom w:w="70" w:type="dxa"/>
              <w:end w:w="85" w:type="dxa"/>
            </w:tcMar>
          </w:tcPr>
          <w:p>
            <w:pPr>
              <w:spacing w:before="0" w:after="0"/>
            </w:pPr>
            <w:r/>
            <w:r>
              <w:rPr>
                <w:rFonts w:ascii="Aptos" w:hAnsi="Aptos"/>
                <w:b w:val="0"/>
                <w:color w:val="27343E"/>
                <w:sz w:val="14"/>
              </w:rPr>
              <w:t>Can benefit from productivity but may face surveillance, deskilling, performance pressure or unclear acceptable-use boundaries.</w:t>
            </w:r>
          </w:p>
        </w:tc>
      </w:tr>
      <w:tr>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4"/>
              </w:rPr>
              <w:t>Recruiters / hiring managers</w:t>
            </w:r>
          </w:p>
        </w:tc>
        <w:tc>
          <w:tcPr>
            <w:tcW w:type="dxa" w:w="2304"/>
            <w:vAlign w:val="center"/>
            <w:tcMar>
              <w:top w:w="70" w:type="dxa"/>
              <w:start w:w="85" w:type="dxa"/>
              <w:bottom w:w="70" w:type="dxa"/>
              <w:end w:w="85" w:type="dxa"/>
            </w:tcMar>
            <w:shd w:fill="F4F6F7"/>
          </w:tcPr>
          <w:p>
            <w:pPr>
              <w:spacing w:before="0" w:after="0"/>
            </w:pPr>
            <w:r/>
            <w:r>
              <w:rPr>
                <w:rFonts w:ascii="Aptos" w:hAnsi="Aptos"/>
                <w:b w:val="0"/>
                <w:color w:val="27343E"/>
                <w:sz w:val="14"/>
              </w:rPr>
              <w:t>DuckTalent</w:t>
            </w:r>
          </w:p>
        </w:tc>
        <w:tc>
          <w:tcPr>
            <w:tcW w:type="dxa" w:w="1512"/>
            <w:vAlign w:val="center"/>
            <w:tcMar>
              <w:top w:w="70" w:type="dxa"/>
              <w:start w:w="85" w:type="dxa"/>
              <w:bottom w:w="70" w:type="dxa"/>
              <w:end w:w="85" w:type="dxa"/>
            </w:tcMar>
            <w:shd w:fill="F4F6F7"/>
          </w:tcPr>
          <w:p>
            <w:pPr>
              <w:spacing w:before="0" w:after="0"/>
            </w:pPr>
            <w:r/>
            <w:r>
              <w:rPr>
                <w:rFonts w:ascii="Aptos" w:hAnsi="Aptos"/>
                <w:b w:val="0"/>
                <w:color w:val="27343E"/>
                <w:sz w:val="14"/>
              </w:rPr>
              <w:t>High reliance risk</w:t>
            </w:r>
          </w:p>
        </w:tc>
        <w:tc>
          <w:tcPr>
            <w:tcW w:type="dxa" w:w="4320"/>
            <w:vAlign w:val="center"/>
            <w:tcMar>
              <w:top w:w="70" w:type="dxa"/>
              <w:start w:w="85" w:type="dxa"/>
              <w:bottom w:w="70" w:type="dxa"/>
              <w:end w:w="85" w:type="dxa"/>
            </w:tcMar>
            <w:shd w:fill="F4F6F7"/>
          </w:tcPr>
          <w:p>
            <w:pPr>
              <w:spacing w:before="0" w:after="0"/>
            </w:pPr>
            <w:r/>
            <w:r>
              <w:rPr>
                <w:rFonts w:ascii="Aptos" w:hAnsi="Aptos"/>
                <w:b w:val="0"/>
                <w:color w:val="27343E"/>
                <w:sz w:val="14"/>
              </w:rPr>
              <w:t>May defer to rankings/summaries and unintentionally convert advisory AI into de facto decision-making.</w:t>
            </w:r>
          </w:p>
        </w:tc>
      </w:tr>
      <w:tr>
        <w:tc>
          <w:tcPr>
            <w:tcW w:type="dxa" w:w="2232"/>
            <w:vAlign w:val="center"/>
            <w:tcMar>
              <w:top w:w="70" w:type="dxa"/>
              <w:start w:w="85" w:type="dxa"/>
              <w:bottom w:w="70" w:type="dxa"/>
              <w:end w:w="85" w:type="dxa"/>
            </w:tcMar>
          </w:tcPr>
          <w:p>
            <w:pPr>
              <w:spacing w:before="0" w:after="0"/>
            </w:pPr>
            <w:r/>
            <w:r>
              <w:rPr>
                <w:rFonts w:ascii="Aptos" w:hAnsi="Aptos"/>
                <w:b w:val="0"/>
                <w:color w:val="27343E"/>
                <w:sz w:val="14"/>
              </w:rPr>
              <w:t>Mechanical engineers</w:t>
            </w:r>
          </w:p>
        </w:tc>
        <w:tc>
          <w:tcPr>
            <w:tcW w:type="dxa" w:w="2304"/>
            <w:vAlign w:val="center"/>
            <w:tcMar>
              <w:top w:w="70" w:type="dxa"/>
              <w:start w:w="85" w:type="dxa"/>
              <w:bottom w:w="70" w:type="dxa"/>
              <w:end w:w="85" w:type="dxa"/>
            </w:tcMar>
          </w:tcPr>
          <w:p>
            <w:pPr>
              <w:spacing w:before="0" w:after="0"/>
            </w:pPr>
            <w:r/>
            <w:r>
              <w:rPr>
                <w:rFonts w:ascii="Aptos" w:hAnsi="Aptos"/>
                <w:b w:val="0"/>
                <w:color w:val="27343E"/>
                <w:sz w:val="14"/>
              </w:rPr>
              <w:t>DuckDesign</w:t>
            </w:r>
          </w:p>
        </w:tc>
        <w:tc>
          <w:tcPr>
            <w:tcW w:type="dxa" w:w="1512"/>
            <w:vAlign w:val="center"/>
            <w:tcMar>
              <w:top w:w="70" w:type="dxa"/>
              <w:start w:w="85" w:type="dxa"/>
              <w:bottom w:w="70" w:type="dxa"/>
              <w:end w:w="85" w:type="dxa"/>
            </w:tcMar>
          </w:tcPr>
          <w:p>
            <w:pPr>
              <w:spacing w:before="0" w:after="0"/>
            </w:pPr>
            <w:r/>
            <w:r>
              <w:rPr>
                <w:rFonts w:ascii="Aptos" w:hAnsi="Aptos"/>
                <w:b w:val="0"/>
                <w:color w:val="27343E"/>
                <w:sz w:val="14"/>
              </w:rPr>
              <w:t>High professional reliance</w:t>
            </w:r>
          </w:p>
        </w:tc>
        <w:tc>
          <w:tcPr>
            <w:tcW w:type="dxa" w:w="4320"/>
            <w:vAlign w:val="center"/>
            <w:tcMar>
              <w:top w:w="70" w:type="dxa"/>
              <w:start w:w="85" w:type="dxa"/>
              <w:bottom w:w="70" w:type="dxa"/>
              <w:end w:w="85" w:type="dxa"/>
            </w:tcMar>
          </w:tcPr>
          <w:p>
            <w:pPr>
              <w:spacing w:before="0" w:after="0"/>
            </w:pPr>
            <w:r/>
            <w:r>
              <w:rPr>
                <w:rFonts w:ascii="Aptos" w:hAnsi="Aptos"/>
                <w:b w:val="0"/>
                <w:color w:val="27343E"/>
                <w:sz w:val="14"/>
              </w:rPr>
              <w:t>Remain accountable for safety-relevant engineering decisions despite persuasive AI output.</w:t>
            </w:r>
          </w:p>
        </w:tc>
      </w:tr>
      <w:tr>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4"/>
              </w:rPr>
              <w:t>Quality inspectors</w:t>
            </w:r>
          </w:p>
        </w:tc>
        <w:tc>
          <w:tcPr>
            <w:tcW w:type="dxa" w:w="2304"/>
            <w:vAlign w:val="center"/>
            <w:tcMar>
              <w:top w:w="70" w:type="dxa"/>
              <w:start w:w="85" w:type="dxa"/>
              <w:bottom w:w="70" w:type="dxa"/>
              <w:end w:w="85" w:type="dxa"/>
            </w:tcMar>
            <w:shd w:fill="F4F6F7"/>
          </w:tcPr>
          <w:p>
            <w:pPr>
              <w:spacing w:before="0" w:after="0"/>
            </w:pPr>
            <w:r/>
            <w:r>
              <w:rPr>
                <w:rFonts w:ascii="Aptos" w:hAnsi="Aptos"/>
                <w:b w:val="0"/>
                <w:color w:val="27343E"/>
                <w:sz w:val="14"/>
              </w:rPr>
              <w:t>WingInspect</w:t>
            </w:r>
          </w:p>
        </w:tc>
        <w:tc>
          <w:tcPr>
            <w:tcW w:type="dxa" w:w="1512"/>
            <w:vAlign w:val="center"/>
            <w:tcMar>
              <w:top w:w="70" w:type="dxa"/>
              <w:start w:w="85" w:type="dxa"/>
              <w:bottom w:w="70" w:type="dxa"/>
              <w:end w:w="85" w:type="dxa"/>
            </w:tcMar>
            <w:shd w:fill="F4F6F7"/>
          </w:tcPr>
          <w:p>
            <w:pPr>
              <w:spacing w:before="0" w:after="0"/>
            </w:pPr>
            <w:r/>
            <w:r>
              <w:rPr>
                <w:rFonts w:ascii="Aptos" w:hAnsi="Aptos"/>
                <w:b w:val="0"/>
                <w:color w:val="27343E"/>
                <w:sz w:val="14"/>
              </w:rPr>
              <w:t>High professional reliance</w:t>
            </w:r>
          </w:p>
        </w:tc>
        <w:tc>
          <w:tcPr>
            <w:tcW w:type="dxa" w:w="4320"/>
            <w:vAlign w:val="center"/>
            <w:tcMar>
              <w:top w:w="70" w:type="dxa"/>
              <w:start w:w="85" w:type="dxa"/>
              <w:bottom w:w="70" w:type="dxa"/>
              <w:end w:w="85" w:type="dxa"/>
            </w:tcMar>
            <w:shd w:fill="F4F6F7"/>
          </w:tcPr>
          <w:p>
            <w:pPr>
              <w:spacing w:before="0" w:after="0"/>
            </w:pPr>
            <w:r/>
            <w:r>
              <w:rPr>
                <w:rFonts w:ascii="Aptos" w:hAnsi="Aptos"/>
                <w:b w:val="0"/>
                <w:color w:val="27343E"/>
                <w:sz w:val="14"/>
              </w:rPr>
              <w:t>May experience automation bias, alert fatigue or deskilling while retaining formal final authority.</w:t>
            </w:r>
          </w:p>
        </w:tc>
      </w:tr>
      <w:tr>
        <w:tc>
          <w:tcPr>
            <w:tcW w:type="dxa" w:w="2232"/>
            <w:vAlign w:val="center"/>
            <w:tcMar>
              <w:top w:w="70" w:type="dxa"/>
              <w:start w:w="85" w:type="dxa"/>
              <w:bottom w:w="70" w:type="dxa"/>
              <w:end w:w="85" w:type="dxa"/>
            </w:tcMar>
          </w:tcPr>
          <w:p>
            <w:pPr>
              <w:spacing w:before="0" w:after="0"/>
            </w:pPr>
            <w:r/>
            <w:r>
              <w:rPr>
                <w:rFonts w:ascii="Aptos" w:hAnsi="Aptos"/>
                <w:b w:val="0"/>
                <w:color w:val="27343E"/>
                <w:sz w:val="14"/>
              </w:rPr>
              <w:t>Suppliers / logistics partners</w:t>
            </w:r>
          </w:p>
        </w:tc>
        <w:tc>
          <w:tcPr>
            <w:tcW w:type="dxa" w:w="2304"/>
            <w:vAlign w:val="center"/>
            <w:tcMar>
              <w:top w:w="70" w:type="dxa"/>
              <w:start w:w="85" w:type="dxa"/>
              <w:bottom w:w="70" w:type="dxa"/>
              <w:end w:w="85" w:type="dxa"/>
            </w:tcMar>
          </w:tcPr>
          <w:p>
            <w:pPr>
              <w:spacing w:before="0" w:after="0"/>
            </w:pPr>
            <w:r/>
            <w:r>
              <w:rPr>
                <w:rFonts w:ascii="Aptos" w:hAnsi="Aptos"/>
                <w:b w:val="0"/>
                <w:color w:val="27343E"/>
                <w:sz w:val="14"/>
              </w:rPr>
              <w:t>FeatherForecast</w:t>
            </w:r>
          </w:p>
        </w:tc>
        <w:tc>
          <w:tcPr>
            <w:tcW w:type="dxa" w:w="1512"/>
            <w:vAlign w:val="center"/>
            <w:tcMar>
              <w:top w:w="70" w:type="dxa"/>
              <w:start w:w="85" w:type="dxa"/>
              <w:bottom w:w="70" w:type="dxa"/>
              <w:end w:w="85" w:type="dxa"/>
            </w:tcMar>
          </w:tcPr>
          <w:p>
            <w:pPr>
              <w:spacing w:before="0" w:after="0"/>
            </w:pPr>
            <w:r/>
            <w:r>
              <w:rPr>
                <w:rFonts w:ascii="Aptos" w:hAnsi="Aptos"/>
                <w:b w:val="0"/>
                <w:color w:val="27343E"/>
                <w:sz w:val="14"/>
              </w:rPr>
              <w:t>Medium</w:t>
            </w:r>
          </w:p>
        </w:tc>
        <w:tc>
          <w:tcPr>
            <w:tcW w:type="dxa" w:w="4320"/>
            <w:vAlign w:val="center"/>
            <w:tcMar>
              <w:top w:w="70" w:type="dxa"/>
              <w:start w:w="85" w:type="dxa"/>
              <w:bottom w:w="70" w:type="dxa"/>
              <w:end w:w="85" w:type="dxa"/>
            </w:tcMar>
          </w:tcPr>
          <w:p>
            <w:pPr>
              <w:spacing w:before="0" w:after="0"/>
            </w:pPr>
            <w:r/>
            <w:r>
              <w:rPr>
                <w:rFonts w:ascii="Aptos" w:hAnsi="Aptos"/>
                <w:b w:val="0"/>
                <w:color w:val="27343E"/>
                <w:sz w:val="14"/>
              </w:rPr>
              <w:t>Forecast-driven ordering may create volatility or unfair commercial pressure without visibility into model limitations.</w:t>
            </w:r>
          </w:p>
        </w:tc>
      </w:tr>
      <w:tr>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4"/>
              </w:rPr>
              <w:t>Data subjects in internal/customer records</w:t>
            </w:r>
          </w:p>
        </w:tc>
        <w:tc>
          <w:tcPr>
            <w:tcW w:type="dxa" w:w="2304"/>
            <w:vAlign w:val="center"/>
            <w:tcMar>
              <w:top w:w="70" w:type="dxa"/>
              <w:start w:w="85" w:type="dxa"/>
              <w:bottom w:w="70" w:type="dxa"/>
              <w:end w:w="85" w:type="dxa"/>
            </w:tcMar>
            <w:shd w:fill="F4F6F7"/>
          </w:tcPr>
          <w:p>
            <w:pPr>
              <w:spacing w:before="0" w:after="0"/>
            </w:pPr>
            <w:r/>
            <w:r>
              <w:rPr>
                <w:rFonts w:ascii="Aptos" w:hAnsi="Aptos"/>
                <w:b w:val="0"/>
                <w:color w:val="27343E"/>
                <w:sz w:val="14"/>
              </w:rPr>
              <w:t>PondGPT, QuackBot, DuckTalent, shadow AI</w:t>
            </w:r>
          </w:p>
        </w:tc>
        <w:tc>
          <w:tcPr>
            <w:tcW w:type="dxa" w:w="1512"/>
            <w:vAlign w:val="center"/>
            <w:tcMar>
              <w:top w:w="70" w:type="dxa"/>
              <w:start w:w="85" w:type="dxa"/>
              <w:bottom w:w="70" w:type="dxa"/>
              <w:end w:w="85" w:type="dxa"/>
            </w:tcMar>
            <w:shd w:fill="F4F6F7"/>
          </w:tcPr>
          <w:p>
            <w:pPr>
              <w:spacing w:before="0" w:after="0"/>
            </w:pPr>
            <w:r/>
            <w:r>
              <w:rPr>
                <w:rFonts w:ascii="Aptos" w:hAnsi="Aptos"/>
                <w:b w:val="0"/>
                <w:color w:val="27343E"/>
                <w:sz w:val="14"/>
              </w:rPr>
              <w:t>High</w:t>
            </w:r>
          </w:p>
        </w:tc>
        <w:tc>
          <w:tcPr>
            <w:tcW w:type="dxa" w:w="4320"/>
            <w:vAlign w:val="center"/>
            <w:tcMar>
              <w:top w:w="70" w:type="dxa"/>
              <w:start w:w="85" w:type="dxa"/>
              <w:bottom w:w="70" w:type="dxa"/>
              <w:end w:w="85" w:type="dxa"/>
            </w:tcMar>
            <w:shd w:fill="F4F6F7"/>
          </w:tcPr>
          <w:p>
            <w:pPr>
              <w:spacing w:before="0" w:after="0"/>
            </w:pPr>
            <w:r/>
            <w:r>
              <w:rPr>
                <w:rFonts w:ascii="Aptos" w:hAnsi="Aptos"/>
                <w:b w:val="0"/>
                <w:color w:val="27343E"/>
                <w:sz w:val="14"/>
              </w:rPr>
              <w:t>May be affected by retrieval, summarization or disclosure without direct interaction with the AI.</w:t>
            </w:r>
          </w:p>
        </w:tc>
      </w:tr>
      <w:tr>
        <w:tc>
          <w:tcPr>
            <w:tcW w:type="dxa" w:w="2232"/>
            <w:vAlign w:val="center"/>
            <w:tcMar>
              <w:top w:w="70" w:type="dxa"/>
              <w:start w:w="85" w:type="dxa"/>
              <w:bottom w:w="70" w:type="dxa"/>
              <w:end w:w="85" w:type="dxa"/>
            </w:tcMar>
          </w:tcPr>
          <w:p>
            <w:pPr>
              <w:spacing w:before="0" w:after="0"/>
            </w:pPr>
            <w:r/>
            <w:r>
              <w:rPr>
                <w:rFonts w:ascii="Aptos" w:hAnsi="Aptos"/>
                <w:b w:val="0"/>
                <w:color w:val="27343E"/>
                <w:sz w:val="14"/>
              </w:rPr>
              <w:t>Duckworks organization / shareholders</w:t>
            </w:r>
          </w:p>
        </w:tc>
        <w:tc>
          <w:tcPr>
            <w:tcW w:type="dxa" w:w="2304"/>
            <w:vAlign w:val="center"/>
            <w:tcMar>
              <w:top w:w="70" w:type="dxa"/>
              <w:start w:w="85" w:type="dxa"/>
              <w:bottom w:w="70" w:type="dxa"/>
              <w:end w:w="85" w:type="dxa"/>
            </w:tcMar>
          </w:tcPr>
          <w:p>
            <w:pPr>
              <w:spacing w:before="0" w:after="0"/>
            </w:pPr>
            <w:r/>
            <w:r>
              <w:rPr>
                <w:rFonts w:ascii="Aptos" w:hAnsi="Aptos"/>
                <w:b w:val="0"/>
                <w:color w:val="27343E"/>
                <w:sz w:val="14"/>
              </w:rPr>
              <w:t>All</w:t>
            </w:r>
          </w:p>
        </w:tc>
        <w:tc>
          <w:tcPr>
            <w:tcW w:type="dxa" w:w="1512"/>
            <w:vAlign w:val="center"/>
            <w:tcMar>
              <w:top w:w="70" w:type="dxa"/>
              <w:start w:w="85" w:type="dxa"/>
              <w:bottom w:w="70" w:type="dxa"/>
              <w:end w:w="85" w:type="dxa"/>
            </w:tcMar>
          </w:tcPr>
          <w:p>
            <w:pPr>
              <w:spacing w:before="0" w:after="0"/>
            </w:pPr>
            <w:r/>
            <w:r>
              <w:rPr>
                <w:rFonts w:ascii="Aptos" w:hAnsi="Aptos"/>
                <w:b w:val="0"/>
                <w:color w:val="27343E"/>
                <w:sz w:val="14"/>
              </w:rPr>
              <w:t>High influence</w:t>
            </w:r>
          </w:p>
        </w:tc>
        <w:tc>
          <w:tcPr>
            <w:tcW w:type="dxa" w:w="4320"/>
            <w:vAlign w:val="center"/>
            <w:tcMar>
              <w:top w:w="70" w:type="dxa"/>
              <w:start w:w="85" w:type="dxa"/>
              <w:bottom w:w="70" w:type="dxa"/>
              <w:end w:w="85" w:type="dxa"/>
            </w:tcMar>
          </w:tcPr>
          <w:p>
            <w:pPr>
              <w:spacing w:before="0" w:after="0"/>
            </w:pPr>
            <w:r/>
            <w:r>
              <w:rPr>
                <w:rFonts w:ascii="Aptos" w:hAnsi="Aptos"/>
                <w:b w:val="0"/>
                <w:color w:val="27343E"/>
                <w:sz w:val="14"/>
              </w:rPr>
              <w:t>Receive efficiency/value benefits and control deployment decisions; must not externalize ethical costs onto weaker stakeholders.</w:t>
            </w:r>
          </w:p>
        </w:tc>
      </w:tr>
    </w:tbl>
    <w:p>
      <w:pPr>
        <w:spacing w:after="0"/>
      </w:pPr>
    </w:p>
    <w:p>
      <w:pPr>
        <w:pStyle w:val="Heading2"/>
      </w:pPr>
      <w:r>
        <w:t>5.1 Stakeholder engagement expectations</w:t>
      </w:r>
    </w:p>
    <w:p>
      <w:pPr>
        <w:pStyle w:val="ListBullet"/>
        <w:spacing w:after="50"/>
      </w:pPr>
      <w:r>
        <w:t>DuckTalent: representative applicant/user input is required before any real pilot; accessibility and contestability must be tested, not merely documented.</w:t>
      </w:r>
    </w:p>
    <w:p>
      <w:pPr>
        <w:pStyle w:val="ListBullet"/>
        <w:spacing w:after="50"/>
      </w:pPr>
      <w:r>
        <w:t>QuackBot: customer feedback, complaint patterns and escalation outcomes should inform release and monitoring.</w:t>
      </w:r>
    </w:p>
    <w:p>
      <w:pPr>
        <w:pStyle w:val="ListBullet"/>
        <w:spacing w:after="50"/>
      </w:pPr>
      <w:r>
        <w:t>WingInspect and DuckDesign: inspectors/engineers must participate in validation so that oversight is operationally meaningful.</w:t>
      </w:r>
    </w:p>
    <w:p>
      <w:pPr>
        <w:pStyle w:val="ListBullet"/>
        <w:spacing w:after="50"/>
      </w:pPr>
      <w:r>
        <w:t>PondGPT: employee feedback should include privacy/surveillance concerns, usefulness, accessibility, over-reliance and workload effects.</w:t>
      </w:r>
    </w:p>
    <w:p>
      <w:pPr>
        <w:pStyle w:val="ListBullet"/>
        <w:spacing w:after="50"/>
      </w:pPr>
      <w:r>
        <w:t>FeatherForecast: supply-chain planners and manufacturing teams should review forecast dependency and override burdens; supplier impacts should be considered where material.</w:t>
      </w:r>
    </w:p>
    <w:p>
      <w:pPr>
        <w:pStyle w:val="ListBullet"/>
        <w:spacing w:after="50"/>
      </w:pPr>
      <w:r>
        <w:t>AI-007: employee input should inform approved-tool design so controls do not simply drive shadow AI into less visible channels.</w:t>
      </w:r>
    </w:p>
    <w:p>
      <w:pPr>
        <w:pStyle w:val="Heading1"/>
      </w:pPr>
      <w:r>
        <w:t>6. Portfolio Ethical Dimension Matrix</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2232"/>
            <w:vAlign w:val="center"/>
            <w:tcMar>
              <w:top w:w="70" w:type="dxa"/>
              <w:start w:w="85" w:type="dxa"/>
              <w:bottom w:w="70" w:type="dxa"/>
              <w:end w:w="85" w:type="dxa"/>
            </w:tcMar>
            <w:shd w:fill="173B57"/>
          </w:tcPr>
          <w:p>
            <w:pPr>
              <w:spacing w:before="0" w:after="0"/>
            </w:pPr>
            <w:r/>
            <w:r>
              <w:rPr>
                <w:rFonts w:ascii="Aptos" w:hAnsi="Aptos"/>
                <w:b/>
                <w:color w:val="FFFFFF"/>
                <w:sz w:val="13"/>
              </w:rPr>
              <w:t>System</w:t>
            </w:r>
          </w:p>
        </w:tc>
        <w:tc>
          <w:tcPr>
            <w:tcW w:type="dxa" w:w="1037"/>
            <w:vAlign w:val="center"/>
            <w:tcMar>
              <w:top w:w="70" w:type="dxa"/>
              <w:start w:w="85" w:type="dxa"/>
              <w:bottom w:w="70" w:type="dxa"/>
              <w:end w:w="85" w:type="dxa"/>
            </w:tcMar>
            <w:shd w:fill="173B57"/>
          </w:tcPr>
          <w:p>
            <w:pPr>
              <w:spacing w:before="0" w:after="0"/>
            </w:pPr>
            <w:r/>
            <w:r>
              <w:rPr>
                <w:rFonts w:ascii="Aptos" w:hAnsi="Aptos"/>
                <w:b/>
                <w:color w:val="FFFFFF"/>
                <w:sz w:val="13"/>
              </w:rPr>
              <w:t>D1 Agency</w:t>
            </w:r>
          </w:p>
        </w:tc>
        <w:tc>
          <w:tcPr>
            <w:tcW w:type="dxa" w:w="1123"/>
            <w:vAlign w:val="center"/>
            <w:tcMar>
              <w:top w:w="70" w:type="dxa"/>
              <w:start w:w="85" w:type="dxa"/>
              <w:bottom w:w="70" w:type="dxa"/>
              <w:end w:w="85" w:type="dxa"/>
            </w:tcMar>
            <w:shd w:fill="173B57"/>
          </w:tcPr>
          <w:p>
            <w:pPr>
              <w:spacing w:before="0" w:after="0"/>
            </w:pPr>
            <w:r/>
            <w:r>
              <w:rPr>
                <w:rFonts w:ascii="Aptos" w:hAnsi="Aptos"/>
                <w:b/>
                <w:color w:val="FFFFFF"/>
                <w:sz w:val="13"/>
              </w:rPr>
              <w:t>D2 Fairness</w:t>
            </w:r>
          </w:p>
        </w:tc>
        <w:tc>
          <w:tcPr>
            <w:tcW w:type="dxa" w:w="1037"/>
            <w:vAlign w:val="center"/>
            <w:tcMar>
              <w:top w:w="70" w:type="dxa"/>
              <w:start w:w="85" w:type="dxa"/>
              <w:bottom w:w="70" w:type="dxa"/>
              <w:end w:w="85" w:type="dxa"/>
            </w:tcMar>
            <w:shd w:fill="173B57"/>
          </w:tcPr>
          <w:p>
            <w:pPr>
              <w:spacing w:before="0" w:after="0"/>
            </w:pPr>
            <w:r/>
            <w:r>
              <w:rPr>
                <w:rFonts w:ascii="Aptos" w:hAnsi="Aptos"/>
                <w:b/>
                <w:color w:val="FFFFFF"/>
                <w:sz w:val="13"/>
              </w:rPr>
              <w:t>D3 Privacy</w:t>
            </w:r>
          </w:p>
        </w:tc>
        <w:tc>
          <w:tcPr>
            <w:tcW w:type="dxa" w:w="1325"/>
            <w:vAlign w:val="center"/>
            <w:tcMar>
              <w:top w:w="70" w:type="dxa"/>
              <w:start w:w="85" w:type="dxa"/>
              <w:bottom w:w="70" w:type="dxa"/>
              <w:end w:w="85" w:type="dxa"/>
            </w:tcMar>
            <w:shd w:fill="173B57"/>
          </w:tcPr>
          <w:p>
            <w:pPr>
              <w:spacing w:before="0" w:after="0"/>
            </w:pPr>
            <w:r/>
            <w:r>
              <w:rPr>
                <w:rFonts w:ascii="Aptos" w:hAnsi="Aptos"/>
                <w:b/>
                <w:color w:val="FFFFFF"/>
                <w:sz w:val="13"/>
              </w:rPr>
              <w:t>D4 Transparency</w:t>
            </w:r>
          </w:p>
        </w:tc>
        <w:tc>
          <w:tcPr>
            <w:tcW w:type="dxa" w:w="1037"/>
            <w:vAlign w:val="center"/>
            <w:tcMar>
              <w:top w:w="70" w:type="dxa"/>
              <w:start w:w="85" w:type="dxa"/>
              <w:bottom w:w="70" w:type="dxa"/>
              <w:end w:w="85" w:type="dxa"/>
            </w:tcMar>
            <w:shd w:fill="173B57"/>
          </w:tcPr>
          <w:p>
            <w:pPr>
              <w:spacing w:before="0" w:after="0"/>
            </w:pPr>
            <w:r/>
            <w:r>
              <w:rPr>
                <w:rFonts w:ascii="Aptos" w:hAnsi="Aptos"/>
                <w:b/>
                <w:color w:val="FFFFFF"/>
                <w:sz w:val="13"/>
              </w:rPr>
              <w:t>D5 Safety</w:t>
            </w:r>
          </w:p>
        </w:tc>
        <w:tc>
          <w:tcPr>
            <w:tcW w:type="dxa" w:w="1411"/>
            <w:vAlign w:val="center"/>
            <w:tcMar>
              <w:top w:w="70" w:type="dxa"/>
              <w:start w:w="85" w:type="dxa"/>
              <w:bottom w:w="70" w:type="dxa"/>
              <w:end w:w="85" w:type="dxa"/>
            </w:tcMar>
            <w:shd w:fill="173B57"/>
          </w:tcPr>
          <w:p>
            <w:pPr>
              <w:spacing w:before="0" w:after="0"/>
            </w:pPr>
            <w:r/>
            <w:r>
              <w:rPr>
                <w:rFonts w:ascii="Aptos" w:hAnsi="Aptos"/>
                <w:b/>
                <w:color w:val="FFFFFF"/>
                <w:sz w:val="13"/>
              </w:rPr>
              <w:t>D6 Accountability</w:t>
            </w:r>
          </w:p>
        </w:tc>
        <w:tc>
          <w:tcPr>
            <w:tcW w:type="dxa" w:w="1224"/>
            <w:vAlign w:val="center"/>
            <w:tcMar>
              <w:top w:w="70" w:type="dxa"/>
              <w:start w:w="85" w:type="dxa"/>
              <w:bottom w:w="70" w:type="dxa"/>
              <w:end w:w="85" w:type="dxa"/>
            </w:tcMar>
            <w:shd w:fill="173B57"/>
          </w:tcPr>
          <w:p>
            <w:pPr>
              <w:spacing w:before="0" w:after="0"/>
            </w:pPr>
            <w:r/>
            <w:r>
              <w:rPr>
                <w:rFonts w:ascii="Aptos" w:hAnsi="Aptos"/>
                <w:b/>
                <w:color w:val="FFFFFF"/>
                <w:sz w:val="13"/>
              </w:rPr>
              <w:t>D7 Well-being</w:t>
            </w:r>
          </w:p>
        </w:tc>
      </w:tr>
      <w:tr>
        <w:tc>
          <w:tcPr>
            <w:tcW w:type="dxa" w:w="2232"/>
            <w:vAlign w:val="center"/>
            <w:tcMar>
              <w:top w:w="70" w:type="dxa"/>
              <w:start w:w="85" w:type="dxa"/>
              <w:bottom w:w="70" w:type="dxa"/>
              <w:end w:w="85" w:type="dxa"/>
            </w:tcMar>
          </w:tcPr>
          <w:p>
            <w:pPr>
              <w:spacing w:before="0" w:after="0"/>
            </w:pPr>
            <w:r/>
            <w:r>
              <w:rPr>
                <w:rFonts w:ascii="Aptos" w:hAnsi="Aptos"/>
                <w:b w:val="0"/>
                <w:color w:val="27343E"/>
                <w:sz w:val="13"/>
              </w:rPr>
              <w:t>AI-001 DuckDesign</w:t>
            </w:r>
          </w:p>
        </w:tc>
        <w:tc>
          <w:tcPr>
            <w:tcW w:type="dxa" w:w="1037"/>
            <w:vAlign w:val="center"/>
            <w:tcMar>
              <w:top w:w="70" w:type="dxa"/>
              <w:start w:w="85" w:type="dxa"/>
              <w:bottom w:w="70" w:type="dxa"/>
              <w:end w:w="85" w:type="dxa"/>
            </w:tcMar>
          </w:tcPr>
          <w:p>
            <w:pPr>
              <w:spacing w:before="0" w:after="0"/>
            </w:pPr>
            <w:r/>
            <w:r>
              <w:rPr>
                <w:rFonts w:ascii="Aptos" w:hAnsi="Aptos"/>
                <w:b w:val="0"/>
                <w:color w:val="27343E"/>
                <w:sz w:val="13"/>
              </w:rPr>
              <w:t>E3</w:t>
            </w:r>
          </w:p>
        </w:tc>
        <w:tc>
          <w:tcPr>
            <w:tcW w:type="dxa" w:w="1123"/>
            <w:vAlign w:val="center"/>
            <w:tcMar>
              <w:top w:w="70" w:type="dxa"/>
              <w:start w:w="85" w:type="dxa"/>
              <w:bottom w:w="70" w:type="dxa"/>
              <w:end w:w="85" w:type="dxa"/>
            </w:tcMar>
          </w:tcPr>
          <w:p>
            <w:pPr>
              <w:spacing w:before="0" w:after="0"/>
            </w:pPr>
            <w:r/>
            <w:r>
              <w:rPr>
                <w:rFonts w:ascii="Aptos" w:hAnsi="Aptos"/>
                <w:b w:val="0"/>
                <w:color w:val="27343E"/>
                <w:sz w:val="13"/>
              </w:rPr>
              <w:t>E1</w:t>
            </w:r>
          </w:p>
        </w:tc>
        <w:tc>
          <w:tcPr>
            <w:tcW w:type="dxa" w:w="1037"/>
            <w:vAlign w:val="center"/>
            <w:tcMar>
              <w:top w:w="70" w:type="dxa"/>
              <w:start w:w="85" w:type="dxa"/>
              <w:bottom w:w="70" w:type="dxa"/>
              <w:end w:w="85" w:type="dxa"/>
            </w:tcMar>
          </w:tcPr>
          <w:p>
            <w:pPr>
              <w:spacing w:before="0" w:after="0"/>
            </w:pPr>
            <w:r/>
            <w:r>
              <w:rPr>
                <w:rFonts w:ascii="Aptos" w:hAnsi="Aptos"/>
                <w:b w:val="0"/>
                <w:color w:val="27343E"/>
                <w:sz w:val="13"/>
              </w:rPr>
              <w:t>E2</w:t>
            </w:r>
          </w:p>
        </w:tc>
        <w:tc>
          <w:tcPr>
            <w:tcW w:type="dxa" w:w="1325"/>
            <w:vAlign w:val="center"/>
            <w:tcMar>
              <w:top w:w="70" w:type="dxa"/>
              <w:start w:w="85" w:type="dxa"/>
              <w:bottom w:w="70" w:type="dxa"/>
              <w:end w:w="85" w:type="dxa"/>
            </w:tcMar>
          </w:tcPr>
          <w:p>
            <w:pPr>
              <w:spacing w:before="0" w:after="0"/>
            </w:pPr>
            <w:r/>
            <w:r>
              <w:rPr>
                <w:rFonts w:ascii="Aptos" w:hAnsi="Aptos"/>
                <w:b w:val="0"/>
                <w:color w:val="27343E"/>
                <w:sz w:val="13"/>
              </w:rPr>
              <w:t>E2</w:t>
            </w:r>
          </w:p>
        </w:tc>
        <w:tc>
          <w:tcPr>
            <w:tcW w:type="dxa" w:w="1037"/>
            <w:vAlign w:val="center"/>
            <w:tcMar>
              <w:top w:w="70" w:type="dxa"/>
              <w:start w:w="85" w:type="dxa"/>
              <w:bottom w:w="70" w:type="dxa"/>
              <w:end w:w="85" w:type="dxa"/>
            </w:tcMar>
          </w:tcPr>
          <w:p>
            <w:pPr>
              <w:spacing w:before="0" w:after="0"/>
            </w:pPr>
            <w:r/>
            <w:r>
              <w:rPr>
                <w:rFonts w:ascii="Aptos" w:hAnsi="Aptos"/>
                <w:b w:val="0"/>
                <w:color w:val="27343E"/>
                <w:sz w:val="13"/>
              </w:rPr>
              <w:t>E3</w:t>
            </w:r>
          </w:p>
        </w:tc>
        <w:tc>
          <w:tcPr>
            <w:tcW w:type="dxa" w:w="1411"/>
            <w:vAlign w:val="center"/>
            <w:tcMar>
              <w:top w:w="70" w:type="dxa"/>
              <w:start w:w="85" w:type="dxa"/>
              <w:bottom w:w="70" w:type="dxa"/>
              <w:end w:w="85" w:type="dxa"/>
            </w:tcMar>
          </w:tcPr>
          <w:p>
            <w:pPr>
              <w:spacing w:before="0" w:after="0"/>
            </w:pPr>
            <w:r/>
            <w:r>
              <w:rPr>
                <w:rFonts w:ascii="Aptos" w:hAnsi="Aptos"/>
                <w:b w:val="0"/>
                <w:color w:val="27343E"/>
                <w:sz w:val="13"/>
              </w:rPr>
              <w:t>E3</w:t>
            </w:r>
          </w:p>
        </w:tc>
        <w:tc>
          <w:tcPr>
            <w:tcW w:type="dxa" w:w="1224"/>
            <w:vAlign w:val="center"/>
            <w:tcMar>
              <w:top w:w="70" w:type="dxa"/>
              <w:start w:w="85" w:type="dxa"/>
              <w:bottom w:w="70" w:type="dxa"/>
              <w:end w:w="85" w:type="dxa"/>
            </w:tcMar>
          </w:tcPr>
          <w:p>
            <w:pPr>
              <w:spacing w:before="0" w:after="0"/>
            </w:pPr>
            <w:r/>
            <w:r>
              <w:rPr>
                <w:rFonts w:ascii="Aptos" w:hAnsi="Aptos"/>
                <w:b w:val="0"/>
                <w:color w:val="27343E"/>
                <w:sz w:val="13"/>
              </w:rPr>
              <w:t>E2</w:t>
            </w:r>
          </w:p>
        </w:tc>
      </w:tr>
      <w:tr>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3"/>
              </w:rPr>
              <w:t>AI-002 QuackBot</w:t>
            </w:r>
          </w:p>
        </w:tc>
        <w:tc>
          <w:tcPr>
            <w:tcW w:type="dxa" w:w="1037"/>
            <w:vAlign w:val="center"/>
            <w:tcMar>
              <w:top w:w="70" w:type="dxa"/>
              <w:start w:w="85" w:type="dxa"/>
              <w:bottom w:w="70" w:type="dxa"/>
              <w:end w:w="85" w:type="dxa"/>
            </w:tcMar>
            <w:shd w:fill="F4F6F7"/>
          </w:tcPr>
          <w:p>
            <w:pPr>
              <w:spacing w:before="0" w:after="0"/>
            </w:pPr>
            <w:r/>
            <w:r>
              <w:rPr>
                <w:rFonts w:ascii="Aptos" w:hAnsi="Aptos"/>
                <w:b w:val="0"/>
                <w:color w:val="27343E"/>
                <w:sz w:val="13"/>
              </w:rPr>
              <w:t>E3</w:t>
            </w:r>
          </w:p>
        </w:tc>
        <w:tc>
          <w:tcPr>
            <w:tcW w:type="dxa" w:w="1123"/>
            <w:vAlign w:val="center"/>
            <w:tcMar>
              <w:top w:w="70" w:type="dxa"/>
              <w:start w:w="85" w:type="dxa"/>
              <w:bottom w:w="70" w:type="dxa"/>
              <w:end w:w="85" w:type="dxa"/>
            </w:tcMar>
            <w:shd w:fill="F4F6F7"/>
          </w:tcPr>
          <w:p>
            <w:pPr>
              <w:spacing w:before="0" w:after="0"/>
            </w:pPr>
            <w:r/>
            <w:r>
              <w:rPr>
                <w:rFonts w:ascii="Aptos" w:hAnsi="Aptos"/>
                <w:b w:val="0"/>
                <w:color w:val="27343E"/>
                <w:sz w:val="13"/>
              </w:rPr>
              <w:t>E2</w:t>
            </w:r>
          </w:p>
        </w:tc>
        <w:tc>
          <w:tcPr>
            <w:tcW w:type="dxa" w:w="1037"/>
            <w:vAlign w:val="center"/>
            <w:tcMar>
              <w:top w:w="70" w:type="dxa"/>
              <w:start w:w="85" w:type="dxa"/>
              <w:bottom w:w="70" w:type="dxa"/>
              <w:end w:w="85" w:type="dxa"/>
            </w:tcMar>
            <w:shd w:fill="F4F6F7"/>
          </w:tcPr>
          <w:p>
            <w:pPr>
              <w:spacing w:before="0" w:after="0"/>
            </w:pPr>
            <w:r/>
            <w:r>
              <w:rPr>
                <w:rFonts w:ascii="Aptos" w:hAnsi="Aptos"/>
                <w:b w:val="0"/>
                <w:color w:val="27343E"/>
                <w:sz w:val="13"/>
              </w:rPr>
              <w:t>E3</w:t>
            </w:r>
          </w:p>
        </w:tc>
        <w:tc>
          <w:tcPr>
            <w:tcW w:type="dxa" w:w="1325"/>
            <w:vAlign w:val="center"/>
            <w:tcMar>
              <w:top w:w="70" w:type="dxa"/>
              <w:start w:w="85" w:type="dxa"/>
              <w:bottom w:w="70" w:type="dxa"/>
              <w:end w:w="85" w:type="dxa"/>
            </w:tcMar>
            <w:shd w:fill="F4F6F7"/>
          </w:tcPr>
          <w:p>
            <w:pPr>
              <w:spacing w:before="0" w:after="0"/>
            </w:pPr>
            <w:r/>
            <w:r>
              <w:rPr>
                <w:rFonts w:ascii="Aptos" w:hAnsi="Aptos"/>
                <w:b w:val="0"/>
                <w:color w:val="27343E"/>
                <w:sz w:val="13"/>
              </w:rPr>
              <w:t>E3</w:t>
            </w:r>
          </w:p>
        </w:tc>
        <w:tc>
          <w:tcPr>
            <w:tcW w:type="dxa" w:w="1037"/>
            <w:vAlign w:val="center"/>
            <w:tcMar>
              <w:top w:w="70" w:type="dxa"/>
              <w:start w:w="85" w:type="dxa"/>
              <w:bottom w:w="70" w:type="dxa"/>
              <w:end w:w="85" w:type="dxa"/>
            </w:tcMar>
            <w:shd w:fill="F4F6F7"/>
          </w:tcPr>
          <w:p>
            <w:pPr>
              <w:spacing w:before="0" w:after="0"/>
            </w:pPr>
            <w:r/>
            <w:r>
              <w:rPr>
                <w:rFonts w:ascii="Aptos" w:hAnsi="Aptos"/>
                <w:b w:val="0"/>
                <w:color w:val="27343E"/>
                <w:sz w:val="13"/>
              </w:rPr>
              <w:t>E3</w:t>
            </w:r>
          </w:p>
        </w:tc>
        <w:tc>
          <w:tcPr>
            <w:tcW w:type="dxa" w:w="1411"/>
            <w:vAlign w:val="center"/>
            <w:tcMar>
              <w:top w:w="70" w:type="dxa"/>
              <w:start w:w="85" w:type="dxa"/>
              <w:bottom w:w="70" w:type="dxa"/>
              <w:end w:w="85" w:type="dxa"/>
            </w:tcMar>
            <w:shd w:fill="F4F6F7"/>
          </w:tcPr>
          <w:p>
            <w:pPr>
              <w:spacing w:before="0" w:after="0"/>
            </w:pPr>
            <w:r/>
            <w:r>
              <w:rPr>
                <w:rFonts w:ascii="Aptos" w:hAnsi="Aptos"/>
                <w:b w:val="0"/>
                <w:color w:val="27343E"/>
                <w:sz w:val="13"/>
              </w:rPr>
              <w:t>E3</w:t>
            </w:r>
          </w:p>
        </w:tc>
        <w:tc>
          <w:tcPr>
            <w:tcW w:type="dxa" w:w="1224"/>
            <w:vAlign w:val="center"/>
            <w:tcMar>
              <w:top w:w="70" w:type="dxa"/>
              <w:start w:w="85" w:type="dxa"/>
              <w:bottom w:w="70" w:type="dxa"/>
              <w:end w:w="85" w:type="dxa"/>
            </w:tcMar>
            <w:shd w:fill="F4F6F7"/>
          </w:tcPr>
          <w:p>
            <w:pPr>
              <w:spacing w:before="0" w:after="0"/>
            </w:pPr>
            <w:r/>
            <w:r>
              <w:rPr>
                <w:rFonts w:ascii="Aptos" w:hAnsi="Aptos"/>
                <w:b w:val="0"/>
                <w:color w:val="27343E"/>
                <w:sz w:val="13"/>
              </w:rPr>
              <w:t>E2</w:t>
            </w:r>
          </w:p>
        </w:tc>
      </w:tr>
      <w:tr>
        <w:tc>
          <w:tcPr>
            <w:tcW w:type="dxa" w:w="2232"/>
            <w:vAlign w:val="center"/>
            <w:tcMar>
              <w:top w:w="70" w:type="dxa"/>
              <w:start w:w="85" w:type="dxa"/>
              <w:bottom w:w="70" w:type="dxa"/>
              <w:end w:w="85" w:type="dxa"/>
            </w:tcMar>
          </w:tcPr>
          <w:p>
            <w:pPr>
              <w:spacing w:before="0" w:after="0"/>
            </w:pPr>
            <w:r/>
            <w:r>
              <w:rPr>
                <w:rFonts w:ascii="Aptos" w:hAnsi="Aptos"/>
                <w:b w:val="0"/>
                <w:color w:val="27343E"/>
                <w:sz w:val="13"/>
              </w:rPr>
              <w:t>AI-003 FeatherForecast</w:t>
            </w:r>
          </w:p>
        </w:tc>
        <w:tc>
          <w:tcPr>
            <w:tcW w:type="dxa" w:w="1037"/>
            <w:vAlign w:val="center"/>
            <w:tcMar>
              <w:top w:w="70" w:type="dxa"/>
              <w:start w:w="85" w:type="dxa"/>
              <w:bottom w:w="70" w:type="dxa"/>
              <w:end w:w="85" w:type="dxa"/>
            </w:tcMar>
          </w:tcPr>
          <w:p>
            <w:pPr>
              <w:spacing w:before="0" w:after="0"/>
            </w:pPr>
            <w:r/>
            <w:r>
              <w:rPr>
                <w:rFonts w:ascii="Aptos" w:hAnsi="Aptos"/>
                <w:b w:val="0"/>
                <w:color w:val="27343E"/>
                <w:sz w:val="13"/>
              </w:rPr>
              <w:t>E2</w:t>
            </w:r>
          </w:p>
        </w:tc>
        <w:tc>
          <w:tcPr>
            <w:tcW w:type="dxa" w:w="1123"/>
            <w:vAlign w:val="center"/>
            <w:tcMar>
              <w:top w:w="70" w:type="dxa"/>
              <w:start w:w="85" w:type="dxa"/>
              <w:bottom w:w="70" w:type="dxa"/>
              <w:end w:w="85" w:type="dxa"/>
            </w:tcMar>
          </w:tcPr>
          <w:p>
            <w:pPr>
              <w:spacing w:before="0" w:after="0"/>
            </w:pPr>
            <w:r/>
            <w:r>
              <w:rPr>
                <w:rFonts w:ascii="Aptos" w:hAnsi="Aptos"/>
                <w:b w:val="0"/>
                <w:color w:val="27343E"/>
                <w:sz w:val="13"/>
              </w:rPr>
              <w:t>E1</w:t>
            </w:r>
          </w:p>
        </w:tc>
        <w:tc>
          <w:tcPr>
            <w:tcW w:type="dxa" w:w="1037"/>
            <w:vAlign w:val="center"/>
            <w:tcMar>
              <w:top w:w="70" w:type="dxa"/>
              <w:start w:w="85" w:type="dxa"/>
              <w:bottom w:w="70" w:type="dxa"/>
              <w:end w:w="85" w:type="dxa"/>
            </w:tcMar>
          </w:tcPr>
          <w:p>
            <w:pPr>
              <w:spacing w:before="0" w:after="0"/>
            </w:pPr>
            <w:r/>
            <w:r>
              <w:rPr>
                <w:rFonts w:ascii="Aptos" w:hAnsi="Aptos"/>
                <w:b w:val="0"/>
                <w:color w:val="27343E"/>
                <w:sz w:val="13"/>
              </w:rPr>
              <w:t>E2</w:t>
            </w:r>
          </w:p>
        </w:tc>
        <w:tc>
          <w:tcPr>
            <w:tcW w:type="dxa" w:w="1325"/>
            <w:vAlign w:val="center"/>
            <w:tcMar>
              <w:top w:w="70" w:type="dxa"/>
              <w:start w:w="85" w:type="dxa"/>
              <w:bottom w:w="70" w:type="dxa"/>
              <w:end w:w="85" w:type="dxa"/>
            </w:tcMar>
          </w:tcPr>
          <w:p>
            <w:pPr>
              <w:spacing w:before="0" w:after="0"/>
            </w:pPr>
            <w:r/>
            <w:r>
              <w:rPr>
                <w:rFonts w:ascii="Aptos" w:hAnsi="Aptos"/>
                <w:b w:val="0"/>
                <w:color w:val="27343E"/>
                <w:sz w:val="13"/>
              </w:rPr>
              <w:t>E2</w:t>
            </w:r>
          </w:p>
        </w:tc>
        <w:tc>
          <w:tcPr>
            <w:tcW w:type="dxa" w:w="1037"/>
            <w:vAlign w:val="center"/>
            <w:tcMar>
              <w:top w:w="70" w:type="dxa"/>
              <w:start w:w="85" w:type="dxa"/>
              <w:bottom w:w="70" w:type="dxa"/>
              <w:end w:w="85" w:type="dxa"/>
            </w:tcMar>
          </w:tcPr>
          <w:p>
            <w:pPr>
              <w:spacing w:before="0" w:after="0"/>
            </w:pPr>
            <w:r/>
            <w:r>
              <w:rPr>
                <w:rFonts w:ascii="Aptos" w:hAnsi="Aptos"/>
                <w:b w:val="0"/>
                <w:color w:val="27343E"/>
                <w:sz w:val="13"/>
              </w:rPr>
              <w:t>E2</w:t>
            </w:r>
          </w:p>
        </w:tc>
        <w:tc>
          <w:tcPr>
            <w:tcW w:type="dxa" w:w="1411"/>
            <w:vAlign w:val="center"/>
            <w:tcMar>
              <w:top w:w="70" w:type="dxa"/>
              <w:start w:w="85" w:type="dxa"/>
              <w:bottom w:w="70" w:type="dxa"/>
              <w:end w:w="85" w:type="dxa"/>
            </w:tcMar>
          </w:tcPr>
          <w:p>
            <w:pPr>
              <w:spacing w:before="0" w:after="0"/>
            </w:pPr>
            <w:r/>
            <w:r>
              <w:rPr>
                <w:rFonts w:ascii="Aptos" w:hAnsi="Aptos"/>
                <w:b w:val="0"/>
                <w:color w:val="27343E"/>
                <w:sz w:val="13"/>
              </w:rPr>
              <w:t>E2</w:t>
            </w:r>
          </w:p>
        </w:tc>
        <w:tc>
          <w:tcPr>
            <w:tcW w:type="dxa" w:w="1224"/>
            <w:vAlign w:val="center"/>
            <w:tcMar>
              <w:top w:w="70" w:type="dxa"/>
              <w:start w:w="85" w:type="dxa"/>
              <w:bottom w:w="70" w:type="dxa"/>
              <w:end w:w="85" w:type="dxa"/>
            </w:tcMar>
          </w:tcPr>
          <w:p>
            <w:pPr>
              <w:spacing w:before="0" w:after="0"/>
            </w:pPr>
            <w:r/>
            <w:r>
              <w:rPr>
                <w:rFonts w:ascii="Aptos" w:hAnsi="Aptos"/>
                <w:b w:val="0"/>
                <w:color w:val="27343E"/>
                <w:sz w:val="13"/>
              </w:rPr>
              <w:t>E2</w:t>
            </w:r>
          </w:p>
        </w:tc>
      </w:tr>
      <w:tr>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3"/>
              </w:rPr>
              <w:t>AI-004 WingInspect</w:t>
            </w:r>
          </w:p>
        </w:tc>
        <w:tc>
          <w:tcPr>
            <w:tcW w:type="dxa" w:w="1037"/>
            <w:vAlign w:val="center"/>
            <w:tcMar>
              <w:top w:w="70" w:type="dxa"/>
              <w:start w:w="85" w:type="dxa"/>
              <w:bottom w:w="70" w:type="dxa"/>
              <w:end w:w="85" w:type="dxa"/>
            </w:tcMar>
            <w:shd w:fill="F4F6F7"/>
          </w:tcPr>
          <w:p>
            <w:pPr>
              <w:spacing w:before="0" w:after="0"/>
            </w:pPr>
            <w:r/>
            <w:r>
              <w:rPr>
                <w:rFonts w:ascii="Aptos" w:hAnsi="Aptos"/>
                <w:b w:val="0"/>
                <w:color w:val="27343E"/>
                <w:sz w:val="13"/>
              </w:rPr>
              <w:t>E3</w:t>
            </w:r>
          </w:p>
        </w:tc>
        <w:tc>
          <w:tcPr>
            <w:tcW w:type="dxa" w:w="1123"/>
            <w:vAlign w:val="center"/>
            <w:tcMar>
              <w:top w:w="70" w:type="dxa"/>
              <w:start w:w="85" w:type="dxa"/>
              <w:bottom w:w="70" w:type="dxa"/>
              <w:end w:w="85" w:type="dxa"/>
            </w:tcMar>
            <w:shd w:fill="F4F6F7"/>
          </w:tcPr>
          <w:p>
            <w:pPr>
              <w:spacing w:before="0" w:after="0"/>
            </w:pPr>
            <w:r/>
            <w:r>
              <w:rPr>
                <w:rFonts w:ascii="Aptos" w:hAnsi="Aptos"/>
                <w:b w:val="0"/>
                <w:color w:val="27343E"/>
                <w:sz w:val="13"/>
              </w:rPr>
              <w:t>E2</w:t>
            </w:r>
          </w:p>
        </w:tc>
        <w:tc>
          <w:tcPr>
            <w:tcW w:type="dxa" w:w="1037"/>
            <w:vAlign w:val="center"/>
            <w:tcMar>
              <w:top w:w="70" w:type="dxa"/>
              <w:start w:w="85" w:type="dxa"/>
              <w:bottom w:w="70" w:type="dxa"/>
              <w:end w:w="85" w:type="dxa"/>
            </w:tcMar>
            <w:shd w:fill="F4F6F7"/>
          </w:tcPr>
          <w:p>
            <w:pPr>
              <w:spacing w:before="0" w:after="0"/>
            </w:pPr>
            <w:r/>
            <w:r>
              <w:rPr>
                <w:rFonts w:ascii="Aptos" w:hAnsi="Aptos"/>
                <w:b w:val="0"/>
                <w:color w:val="27343E"/>
                <w:sz w:val="13"/>
              </w:rPr>
              <w:t>E2</w:t>
            </w:r>
          </w:p>
        </w:tc>
        <w:tc>
          <w:tcPr>
            <w:tcW w:type="dxa" w:w="1325"/>
            <w:vAlign w:val="center"/>
            <w:tcMar>
              <w:top w:w="70" w:type="dxa"/>
              <w:start w:w="85" w:type="dxa"/>
              <w:bottom w:w="70" w:type="dxa"/>
              <w:end w:w="85" w:type="dxa"/>
            </w:tcMar>
            <w:shd w:fill="F4F6F7"/>
          </w:tcPr>
          <w:p>
            <w:pPr>
              <w:spacing w:before="0" w:after="0"/>
            </w:pPr>
            <w:r/>
            <w:r>
              <w:rPr>
                <w:rFonts w:ascii="Aptos" w:hAnsi="Aptos"/>
                <w:b w:val="0"/>
                <w:color w:val="27343E"/>
                <w:sz w:val="13"/>
              </w:rPr>
              <w:t>E2</w:t>
            </w:r>
          </w:p>
        </w:tc>
        <w:tc>
          <w:tcPr>
            <w:tcW w:type="dxa" w:w="1037"/>
            <w:vAlign w:val="center"/>
            <w:tcMar>
              <w:top w:w="70" w:type="dxa"/>
              <w:start w:w="85" w:type="dxa"/>
              <w:bottom w:w="70" w:type="dxa"/>
              <w:end w:w="85" w:type="dxa"/>
            </w:tcMar>
            <w:shd w:fill="F4F6F7"/>
          </w:tcPr>
          <w:p>
            <w:pPr>
              <w:spacing w:before="0" w:after="0"/>
            </w:pPr>
            <w:r/>
            <w:r>
              <w:rPr>
                <w:rFonts w:ascii="Aptos" w:hAnsi="Aptos"/>
                <w:b w:val="0"/>
                <w:color w:val="27343E"/>
                <w:sz w:val="13"/>
              </w:rPr>
              <w:t>E3</w:t>
            </w:r>
          </w:p>
        </w:tc>
        <w:tc>
          <w:tcPr>
            <w:tcW w:type="dxa" w:w="1411"/>
            <w:vAlign w:val="center"/>
            <w:tcMar>
              <w:top w:w="70" w:type="dxa"/>
              <w:start w:w="85" w:type="dxa"/>
              <w:bottom w:w="70" w:type="dxa"/>
              <w:end w:w="85" w:type="dxa"/>
            </w:tcMar>
            <w:shd w:fill="F4F6F7"/>
          </w:tcPr>
          <w:p>
            <w:pPr>
              <w:spacing w:before="0" w:after="0"/>
            </w:pPr>
            <w:r/>
            <w:r>
              <w:rPr>
                <w:rFonts w:ascii="Aptos" w:hAnsi="Aptos"/>
                <w:b w:val="0"/>
                <w:color w:val="27343E"/>
                <w:sz w:val="13"/>
              </w:rPr>
              <w:t>E3</w:t>
            </w:r>
          </w:p>
        </w:tc>
        <w:tc>
          <w:tcPr>
            <w:tcW w:type="dxa" w:w="1224"/>
            <w:vAlign w:val="center"/>
            <w:tcMar>
              <w:top w:w="70" w:type="dxa"/>
              <w:start w:w="85" w:type="dxa"/>
              <w:bottom w:w="70" w:type="dxa"/>
              <w:end w:w="85" w:type="dxa"/>
            </w:tcMar>
            <w:shd w:fill="F4F6F7"/>
          </w:tcPr>
          <w:p>
            <w:pPr>
              <w:spacing w:before="0" w:after="0"/>
            </w:pPr>
            <w:r/>
            <w:r>
              <w:rPr>
                <w:rFonts w:ascii="Aptos" w:hAnsi="Aptos"/>
                <w:b w:val="0"/>
                <w:color w:val="27343E"/>
                <w:sz w:val="13"/>
              </w:rPr>
              <w:t>E2</w:t>
            </w:r>
          </w:p>
        </w:tc>
      </w:tr>
      <w:tr>
        <w:tc>
          <w:tcPr>
            <w:tcW w:type="dxa" w:w="2232"/>
            <w:vAlign w:val="center"/>
            <w:tcMar>
              <w:top w:w="70" w:type="dxa"/>
              <w:start w:w="85" w:type="dxa"/>
              <w:bottom w:w="70" w:type="dxa"/>
              <w:end w:w="85" w:type="dxa"/>
            </w:tcMar>
          </w:tcPr>
          <w:p>
            <w:pPr>
              <w:spacing w:before="0" w:after="0"/>
            </w:pPr>
            <w:r/>
            <w:r>
              <w:rPr>
                <w:rFonts w:ascii="Aptos" w:hAnsi="Aptos"/>
                <w:b w:val="0"/>
                <w:color w:val="27343E"/>
                <w:sz w:val="13"/>
              </w:rPr>
              <w:t>AI-005 DuckTalent</w:t>
            </w:r>
          </w:p>
        </w:tc>
        <w:tc>
          <w:tcPr>
            <w:tcW w:type="dxa" w:w="1037"/>
            <w:vAlign w:val="center"/>
            <w:tcMar>
              <w:top w:w="70" w:type="dxa"/>
              <w:start w:w="85" w:type="dxa"/>
              <w:bottom w:w="70" w:type="dxa"/>
              <w:end w:w="85" w:type="dxa"/>
            </w:tcMar>
          </w:tcPr>
          <w:p>
            <w:pPr>
              <w:spacing w:before="0" w:after="0"/>
            </w:pPr>
            <w:r/>
            <w:r>
              <w:rPr>
                <w:rFonts w:ascii="Aptos" w:hAnsi="Aptos"/>
                <w:b w:val="0"/>
                <w:color w:val="27343E"/>
                <w:sz w:val="13"/>
              </w:rPr>
              <w:t>E4</w:t>
            </w:r>
          </w:p>
        </w:tc>
        <w:tc>
          <w:tcPr>
            <w:tcW w:type="dxa" w:w="1123"/>
            <w:vAlign w:val="center"/>
            <w:tcMar>
              <w:top w:w="70" w:type="dxa"/>
              <w:start w:w="85" w:type="dxa"/>
              <w:bottom w:w="70" w:type="dxa"/>
              <w:end w:w="85" w:type="dxa"/>
            </w:tcMar>
          </w:tcPr>
          <w:p>
            <w:pPr>
              <w:spacing w:before="0" w:after="0"/>
            </w:pPr>
            <w:r/>
            <w:r>
              <w:rPr>
                <w:rFonts w:ascii="Aptos" w:hAnsi="Aptos"/>
                <w:b w:val="0"/>
                <w:color w:val="27343E"/>
                <w:sz w:val="13"/>
              </w:rPr>
              <w:t>E4</w:t>
            </w:r>
          </w:p>
        </w:tc>
        <w:tc>
          <w:tcPr>
            <w:tcW w:type="dxa" w:w="1037"/>
            <w:vAlign w:val="center"/>
            <w:tcMar>
              <w:top w:w="70" w:type="dxa"/>
              <w:start w:w="85" w:type="dxa"/>
              <w:bottom w:w="70" w:type="dxa"/>
              <w:end w:w="85" w:type="dxa"/>
            </w:tcMar>
          </w:tcPr>
          <w:p>
            <w:pPr>
              <w:spacing w:before="0" w:after="0"/>
            </w:pPr>
            <w:r/>
            <w:r>
              <w:rPr>
                <w:rFonts w:ascii="Aptos" w:hAnsi="Aptos"/>
                <w:b w:val="0"/>
                <w:color w:val="27343E"/>
                <w:sz w:val="13"/>
              </w:rPr>
              <w:t>E4</w:t>
            </w:r>
          </w:p>
        </w:tc>
        <w:tc>
          <w:tcPr>
            <w:tcW w:type="dxa" w:w="1325"/>
            <w:vAlign w:val="center"/>
            <w:tcMar>
              <w:top w:w="70" w:type="dxa"/>
              <w:start w:w="85" w:type="dxa"/>
              <w:bottom w:w="70" w:type="dxa"/>
              <w:end w:w="85" w:type="dxa"/>
            </w:tcMar>
          </w:tcPr>
          <w:p>
            <w:pPr>
              <w:spacing w:before="0" w:after="0"/>
            </w:pPr>
            <w:r/>
            <w:r>
              <w:rPr>
                <w:rFonts w:ascii="Aptos" w:hAnsi="Aptos"/>
                <w:b w:val="0"/>
                <w:color w:val="27343E"/>
                <w:sz w:val="13"/>
              </w:rPr>
              <w:t>E4</w:t>
            </w:r>
          </w:p>
        </w:tc>
        <w:tc>
          <w:tcPr>
            <w:tcW w:type="dxa" w:w="1037"/>
            <w:vAlign w:val="center"/>
            <w:tcMar>
              <w:top w:w="70" w:type="dxa"/>
              <w:start w:w="85" w:type="dxa"/>
              <w:bottom w:w="70" w:type="dxa"/>
              <w:end w:w="85" w:type="dxa"/>
            </w:tcMar>
          </w:tcPr>
          <w:p>
            <w:pPr>
              <w:spacing w:before="0" w:after="0"/>
            </w:pPr>
            <w:r/>
            <w:r>
              <w:rPr>
                <w:rFonts w:ascii="Aptos" w:hAnsi="Aptos"/>
                <w:b w:val="0"/>
                <w:color w:val="27343E"/>
                <w:sz w:val="13"/>
              </w:rPr>
              <w:t>E3</w:t>
            </w:r>
          </w:p>
        </w:tc>
        <w:tc>
          <w:tcPr>
            <w:tcW w:type="dxa" w:w="1411"/>
            <w:vAlign w:val="center"/>
            <w:tcMar>
              <w:top w:w="70" w:type="dxa"/>
              <w:start w:w="85" w:type="dxa"/>
              <w:bottom w:w="70" w:type="dxa"/>
              <w:end w:w="85" w:type="dxa"/>
            </w:tcMar>
          </w:tcPr>
          <w:p>
            <w:pPr>
              <w:spacing w:before="0" w:after="0"/>
            </w:pPr>
            <w:r/>
            <w:r>
              <w:rPr>
                <w:rFonts w:ascii="Aptos" w:hAnsi="Aptos"/>
                <w:b w:val="0"/>
                <w:color w:val="27343E"/>
                <w:sz w:val="13"/>
              </w:rPr>
              <w:t>E4</w:t>
            </w:r>
          </w:p>
        </w:tc>
        <w:tc>
          <w:tcPr>
            <w:tcW w:type="dxa" w:w="1224"/>
            <w:vAlign w:val="center"/>
            <w:tcMar>
              <w:top w:w="70" w:type="dxa"/>
              <w:start w:w="85" w:type="dxa"/>
              <w:bottom w:w="70" w:type="dxa"/>
              <w:end w:w="85" w:type="dxa"/>
            </w:tcMar>
          </w:tcPr>
          <w:p>
            <w:pPr>
              <w:spacing w:before="0" w:after="0"/>
            </w:pPr>
            <w:r/>
            <w:r>
              <w:rPr>
                <w:rFonts w:ascii="Aptos" w:hAnsi="Aptos"/>
                <w:b w:val="0"/>
                <w:color w:val="27343E"/>
                <w:sz w:val="13"/>
              </w:rPr>
              <w:t>E3</w:t>
            </w:r>
          </w:p>
        </w:tc>
      </w:tr>
      <w:tr>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3"/>
              </w:rPr>
              <w:t>AI-006 PondGPT</w:t>
            </w:r>
          </w:p>
        </w:tc>
        <w:tc>
          <w:tcPr>
            <w:tcW w:type="dxa" w:w="1037"/>
            <w:vAlign w:val="center"/>
            <w:tcMar>
              <w:top w:w="70" w:type="dxa"/>
              <w:start w:w="85" w:type="dxa"/>
              <w:bottom w:w="70" w:type="dxa"/>
              <w:end w:w="85" w:type="dxa"/>
            </w:tcMar>
            <w:shd w:fill="F4F6F7"/>
          </w:tcPr>
          <w:p>
            <w:pPr>
              <w:spacing w:before="0" w:after="0"/>
            </w:pPr>
            <w:r/>
            <w:r>
              <w:rPr>
                <w:rFonts w:ascii="Aptos" w:hAnsi="Aptos"/>
                <w:b w:val="0"/>
                <w:color w:val="27343E"/>
                <w:sz w:val="13"/>
              </w:rPr>
              <w:t>E3</w:t>
            </w:r>
          </w:p>
        </w:tc>
        <w:tc>
          <w:tcPr>
            <w:tcW w:type="dxa" w:w="1123"/>
            <w:vAlign w:val="center"/>
            <w:tcMar>
              <w:top w:w="70" w:type="dxa"/>
              <w:start w:w="85" w:type="dxa"/>
              <w:bottom w:w="70" w:type="dxa"/>
              <w:end w:w="85" w:type="dxa"/>
            </w:tcMar>
            <w:shd w:fill="F4F6F7"/>
          </w:tcPr>
          <w:p>
            <w:pPr>
              <w:spacing w:before="0" w:after="0"/>
            </w:pPr>
            <w:r/>
            <w:r>
              <w:rPr>
                <w:rFonts w:ascii="Aptos" w:hAnsi="Aptos"/>
                <w:b w:val="0"/>
                <w:color w:val="27343E"/>
                <w:sz w:val="13"/>
              </w:rPr>
              <w:t>E2</w:t>
            </w:r>
          </w:p>
        </w:tc>
        <w:tc>
          <w:tcPr>
            <w:tcW w:type="dxa" w:w="1037"/>
            <w:vAlign w:val="center"/>
            <w:tcMar>
              <w:top w:w="70" w:type="dxa"/>
              <w:start w:w="85" w:type="dxa"/>
              <w:bottom w:w="70" w:type="dxa"/>
              <w:end w:w="85" w:type="dxa"/>
            </w:tcMar>
            <w:shd w:fill="F4F6F7"/>
          </w:tcPr>
          <w:p>
            <w:pPr>
              <w:spacing w:before="0" w:after="0"/>
            </w:pPr>
            <w:r/>
            <w:r>
              <w:rPr>
                <w:rFonts w:ascii="Aptos" w:hAnsi="Aptos"/>
                <w:b w:val="0"/>
                <w:color w:val="27343E"/>
                <w:sz w:val="13"/>
              </w:rPr>
              <w:t>E3</w:t>
            </w:r>
          </w:p>
        </w:tc>
        <w:tc>
          <w:tcPr>
            <w:tcW w:type="dxa" w:w="1325"/>
            <w:vAlign w:val="center"/>
            <w:tcMar>
              <w:top w:w="70" w:type="dxa"/>
              <w:start w:w="85" w:type="dxa"/>
              <w:bottom w:w="70" w:type="dxa"/>
              <w:end w:w="85" w:type="dxa"/>
            </w:tcMar>
            <w:shd w:fill="F4F6F7"/>
          </w:tcPr>
          <w:p>
            <w:pPr>
              <w:spacing w:before="0" w:after="0"/>
            </w:pPr>
            <w:r/>
            <w:r>
              <w:rPr>
                <w:rFonts w:ascii="Aptos" w:hAnsi="Aptos"/>
                <w:b w:val="0"/>
                <w:color w:val="27343E"/>
                <w:sz w:val="13"/>
              </w:rPr>
              <w:t>E2</w:t>
            </w:r>
          </w:p>
        </w:tc>
        <w:tc>
          <w:tcPr>
            <w:tcW w:type="dxa" w:w="1037"/>
            <w:vAlign w:val="center"/>
            <w:tcMar>
              <w:top w:w="70" w:type="dxa"/>
              <w:start w:w="85" w:type="dxa"/>
              <w:bottom w:w="70" w:type="dxa"/>
              <w:end w:w="85" w:type="dxa"/>
            </w:tcMar>
            <w:shd w:fill="F4F6F7"/>
          </w:tcPr>
          <w:p>
            <w:pPr>
              <w:spacing w:before="0" w:after="0"/>
            </w:pPr>
            <w:r/>
            <w:r>
              <w:rPr>
                <w:rFonts w:ascii="Aptos" w:hAnsi="Aptos"/>
                <w:b w:val="0"/>
                <w:color w:val="27343E"/>
                <w:sz w:val="13"/>
              </w:rPr>
              <w:t>E3</w:t>
            </w:r>
          </w:p>
        </w:tc>
        <w:tc>
          <w:tcPr>
            <w:tcW w:type="dxa" w:w="1411"/>
            <w:vAlign w:val="center"/>
            <w:tcMar>
              <w:top w:w="70" w:type="dxa"/>
              <w:start w:w="85" w:type="dxa"/>
              <w:bottom w:w="70" w:type="dxa"/>
              <w:end w:w="85" w:type="dxa"/>
            </w:tcMar>
            <w:shd w:fill="F4F6F7"/>
          </w:tcPr>
          <w:p>
            <w:pPr>
              <w:spacing w:before="0" w:after="0"/>
            </w:pPr>
            <w:r/>
            <w:r>
              <w:rPr>
                <w:rFonts w:ascii="Aptos" w:hAnsi="Aptos"/>
                <w:b w:val="0"/>
                <w:color w:val="27343E"/>
                <w:sz w:val="13"/>
              </w:rPr>
              <w:t>E3</w:t>
            </w:r>
          </w:p>
        </w:tc>
        <w:tc>
          <w:tcPr>
            <w:tcW w:type="dxa" w:w="1224"/>
            <w:vAlign w:val="center"/>
            <w:tcMar>
              <w:top w:w="70" w:type="dxa"/>
              <w:start w:w="85" w:type="dxa"/>
              <w:bottom w:w="70" w:type="dxa"/>
              <w:end w:w="85" w:type="dxa"/>
            </w:tcMar>
            <w:shd w:fill="F4F6F7"/>
          </w:tcPr>
          <w:p>
            <w:pPr>
              <w:spacing w:before="0" w:after="0"/>
            </w:pPr>
            <w:r/>
            <w:r>
              <w:rPr>
                <w:rFonts w:ascii="Aptos" w:hAnsi="Aptos"/>
                <w:b w:val="0"/>
                <w:color w:val="27343E"/>
                <w:sz w:val="13"/>
              </w:rPr>
              <w:t>E3</w:t>
            </w:r>
          </w:p>
        </w:tc>
      </w:tr>
      <w:tr>
        <w:tc>
          <w:tcPr>
            <w:tcW w:type="dxa" w:w="2232"/>
            <w:vAlign w:val="center"/>
            <w:tcMar>
              <w:top w:w="70" w:type="dxa"/>
              <w:start w:w="85" w:type="dxa"/>
              <w:bottom w:w="70" w:type="dxa"/>
              <w:end w:w="85" w:type="dxa"/>
            </w:tcMar>
          </w:tcPr>
          <w:p>
            <w:pPr>
              <w:spacing w:before="0" w:after="0"/>
            </w:pPr>
            <w:r/>
            <w:r>
              <w:rPr>
                <w:rFonts w:ascii="Aptos" w:hAnsi="Aptos"/>
                <w:b w:val="0"/>
                <w:color w:val="27343E"/>
                <w:sz w:val="13"/>
              </w:rPr>
              <w:t>AI-007 Shadow GenAI</w:t>
            </w:r>
          </w:p>
        </w:tc>
        <w:tc>
          <w:tcPr>
            <w:tcW w:type="dxa" w:w="1037"/>
            <w:vAlign w:val="center"/>
            <w:tcMar>
              <w:top w:w="70" w:type="dxa"/>
              <w:start w:w="85" w:type="dxa"/>
              <w:bottom w:w="70" w:type="dxa"/>
              <w:end w:w="85" w:type="dxa"/>
            </w:tcMar>
          </w:tcPr>
          <w:p>
            <w:pPr>
              <w:spacing w:before="0" w:after="0"/>
            </w:pPr>
            <w:r/>
            <w:r>
              <w:rPr>
                <w:rFonts w:ascii="Aptos" w:hAnsi="Aptos"/>
                <w:b w:val="0"/>
                <w:color w:val="27343E"/>
                <w:sz w:val="13"/>
              </w:rPr>
              <w:t>E4</w:t>
            </w:r>
          </w:p>
        </w:tc>
        <w:tc>
          <w:tcPr>
            <w:tcW w:type="dxa" w:w="1123"/>
            <w:vAlign w:val="center"/>
            <w:tcMar>
              <w:top w:w="70" w:type="dxa"/>
              <w:start w:w="85" w:type="dxa"/>
              <w:bottom w:w="70" w:type="dxa"/>
              <w:end w:w="85" w:type="dxa"/>
            </w:tcMar>
          </w:tcPr>
          <w:p>
            <w:pPr>
              <w:spacing w:before="0" w:after="0"/>
            </w:pPr>
            <w:r/>
            <w:r>
              <w:rPr>
                <w:rFonts w:ascii="Aptos" w:hAnsi="Aptos"/>
                <w:b w:val="0"/>
                <w:color w:val="27343E"/>
                <w:sz w:val="13"/>
              </w:rPr>
              <w:t>E3</w:t>
            </w:r>
          </w:p>
        </w:tc>
        <w:tc>
          <w:tcPr>
            <w:tcW w:type="dxa" w:w="1037"/>
            <w:vAlign w:val="center"/>
            <w:tcMar>
              <w:top w:w="70" w:type="dxa"/>
              <w:start w:w="85" w:type="dxa"/>
              <w:bottom w:w="70" w:type="dxa"/>
              <w:end w:w="85" w:type="dxa"/>
            </w:tcMar>
          </w:tcPr>
          <w:p>
            <w:pPr>
              <w:spacing w:before="0" w:after="0"/>
            </w:pPr>
            <w:r/>
            <w:r>
              <w:rPr>
                <w:rFonts w:ascii="Aptos" w:hAnsi="Aptos"/>
                <w:b w:val="0"/>
                <w:color w:val="27343E"/>
                <w:sz w:val="13"/>
              </w:rPr>
              <w:t>E4</w:t>
            </w:r>
          </w:p>
        </w:tc>
        <w:tc>
          <w:tcPr>
            <w:tcW w:type="dxa" w:w="1325"/>
            <w:vAlign w:val="center"/>
            <w:tcMar>
              <w:top w:w="70" w:type="dxa"/>
              <w:start w:w="85" w:type="dxa"/>
              <w:bottom w:w="70" w:type="dxa"/>
              <w:end w:w="85" w:type="dxa"/>
            </w:tcMar>
          </w:tcPr>
          <w:p>
            <w:pPr>
              <w:spacing w:before="0" w:after="0"/>
            </w:pPr>
            <w:r/>
            <w:r>
              <w:rPr>
                <w:rFonts w:ascii="Aptos" w:hAnsi="Aptos"/>
                <w:b w:val="0"/>
                <w:color w:val="27343E"/>
                <w:sz w:val="13"/>
              </w:rPr>
              <w:t>E4</w:t>
            </w:r>
          </w:p>
        </w:tc>
        <w:tc>
          <w:tcPr>
            <w:tcW w:type="dxa" w:w="1037"/>
            <w:vAlign w:val="center"/>
            <w:tcMar>
              <w:top w:w="70" w:type="dxa"/>
              <w:start w:w="85" w:type="dxa"/>
              <w:bottom w:w="70" w:type="dxa"/>
              <w:end w:w="85" w:type="dxa"/>
            </w:tcMar>
          </w:tcPr>
          <w:p>
            <w:pPr>
              <w:spacing w:before="0" w:after="0"/>
            </w:pPr>
            <w:r/>
            <w:r>
              <w:rPr>
                <w:rFonts w:ascii="Aptos" w:hAnsi="Aptos"/>
                <w:b w:val="0"/>
                <w:color w:val="27343E"/>
                <w:sz w:val="13"/>
              </w:rPr>
              <w:t>E3</w:t>
            </w:r>
          </w:p>
        </w:tc>
        <w:tc>
          <w:tcPr>
            <w:tcW w:type="dxa" w:w="1411"/>
            <w:vAlign w:val="center"/>
            <w:tcMar>
              <w:top w:w="70" w:type="dxa"/>
              <w:start w:w="85" w:type="dxa"/>
              <w:bottom w:w="70" w:type="dxa"/>
              <w:end w:w="85" w:type="dxa"/>
            </w:tcMar>
          </w:tcPr>
          <w:p>
            <w:pPr>
              <w:spacing w:before="0" w:after="0"/>
            </w:pPr>
            <w:r/>
            <w:r>
              <w:rPr>
                <w:rFonts w:ascii="Aptos" w:hAnsi="Aptos"/>
                <w:b w:val="0"/>
                <w:color w:val="27343E"/>
                <w:sz w:val="13"/>
              </w:rPr>
              <w:t>E4</w:t>
            </w:r>
          </w:p>
        </w:tc>
        <w:tc>
          <w:tcPr>
            <w:tcW w:type="dxa" w:w="1224"/>
            <w:vAlign w:val="center"/>
            <w:tcMar>
              <w:top w:w="70" w:type="dxa"/>
              <w:start w:w="85" w:type="dxa"/>
              <w:bottom w:w="70" w:type="dxa"/>
              <w:end w:w="85" w:type="dxa"/>
            </w:tcMar>
          </w:tcPr>
          <w:p>
            <w:pPr>
              <w:spacing w:before="0" w:after="0"/>
            </w:pPr>
            <w:r/>
            <w:r>
              <w:rPr>
                <w:rFonts w:ascii="Aptos" w:hAnsi="Aptos"/>
                <w:b w:val="0"/>
                <w:color w:val="27343E"/>
                <w:sz w:val="13"/>
              </w:rPr>
              <w:t>E3</w:t>
            </w:r>
          </w:p>
        </w:tc>
      </w:tr>
    </w:tbl>
    <w:p>
      <w:pPr>
        <w:spacing w:after="0"/>
      </w:pPr>
    </w:p>
    <w:tbl>
      <w:tblPr>
        <w:tblW w:type="auto" w:w="0"/>
        <w:jc w:val="center"/>
        <w:tblLook w:firstColumn="1" w:firstRow="1" w:lastColumn="0" w:lastRow="0" w:noHBand="0" w:noVBand="1" w:val="04A0"/>
      </w:tblPr>
      <w:tblGrid>
        <w:gridCol w:w="10224"/>
      </w:tblGrid>
      <w:tr>
        <w:tc>
          <w:tcPr>
            <w:tcW w:type="dxa" w:w="10224"/>
            <w:shd w:fill="FFF1D5"/>
            <w:tcMar>
              <w:top w:w="120" w:type="dxa"/>
              <w:start w:w="140" w:type="dxa"/>
              <w:bottom w:w="120" w:type="dxa"/>
              <w:end w:w="140" w:type="dxa"/>
            </w:tcMar>
            <w:tcBorders>
              <w:left w:val="single" w:sz="18" w:color="2D6F6D"/>
            </w:tcBorders>
          </w:tcPr>
          <w:p>
            <w:pPr>
              <w:spacing w:after="60"/>
            </w:pPr>
            <w:r>
              <w:rPr>
                <w:b/>
                <w:color w:val="173B57"/>
                <w:sz w:val="20"/>
              </w:rPr>
              <w:t>Interpretation</w:t>
            </w:r>
          </w:p>
          <w:p>
            <w:pPr>
              <w:spacing w:after="0"/>
            </w:pPr>
            <w:r>
              <w:rPr>
                <w:color w:val="27343E"/>
                <w:sz w:val="18"/>
              </w:rPr>
              <w:t>The matrix shows ethical attention by dimension, not mathematical scoring. E4 in one dimension is not averaged down by lower concern elsewhere. For example, DuckTalent's employment-opportunity and fairness implications remain severe even if the system later demonstrates strong cybersecurity controls.</w:t>
            </w:r>
          </w:p>
        </w:tc>
      </w:tr>
    </w:tbl>
    <w:p>
      <w:pPr>
        <w:spacing w:after="0"/>
      </w:pPr>
    </w:p>
    <w:p>
      <w:r>
        <w:br w:type="page"/>
      </w:r>
    </w:p>
    <w:p>
      <w:pPr>
        <w:pStyle w:val="Heading1"/>
      </w:pPr>
      <w:r>
        <w:t>7. AI-001 — DuckDesign AI</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tcMar>
              <w:top w:w="70" w:type="dxa"/>
              <w:start w:w="85" w:type="dxa"/>
              <w:bottom w:w="70" w:type="dxa"/>
              <w:end w:w="85" w:type="dxa"/>
            </w:tcMar>
            <w:shd w:fill="173B57"/>
          </w:tcPr>
          <w:p>
            <w:pPr>
              <w:spacing w:before="0" w:after="0"/>
            </w:pPr>
            <w:r/>
            <w:r>
              <w:rPr>
                <w:rFonts w:ascii="Aptos" w:hAnsi="Aptos"/>
                <w:b/>
                <w:color w:val="FFFFFF"/>
                <w:sz w:val="16"/>
              </w:rPr>
              <w:t>Field</w:t>
            </w:r>
          </w:p>
        </w:tc>
        <w:tc>
          <w:tcPr>
            <w:tcW w:type="dxa" w:w="6768"/>
            <w:vAlign w:val="center"/>
            <w:tcMar>
              <w:top w:w="70" w:type="dxa"/>
              <w:start w:w="85" w:type="dxa"/>
              <w:bottom w:w="70" w:type="dxa"/>
              <w:end w:w="85" w:type="dxa"/>
            </w:tcMar>
            <w:shd w:fill="173B57"/>
          </w:tcPr>
          <w:p>
            <w:pPr>
              <w:spacing w:before="0" w:after="0"/>
            </w:pPr>
            <w:r/>
            <w:r>
              <w:rPr>
                <w:rFonts w:ascii="Aptos" w:hAnsi="Aptos"/>
                <w:b/>
                <w:color w:val="FFFFFF"/>
                <w:sz w:val="16"/>
              </w:rPr>
              <w:t>Assessment</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6"/>
              </w:rPr>
              <w:t>Business owner</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6"/>
              </w:rPr>
              <w:t>Felix Duckson — VP Product &amp; Engineering</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6"/>
              </w:rPr>
              <w:t>Ethical priority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6"/>
              </w:rPr>
              <w:t>E3 — Significant</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6"/>
              </w:rPr>
              <w:t>Current governance decision</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6"/>
              </w:rPr>
              <w:t>Restricted pilot only</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6"/>
              </w:rPr>
              <w:t>Assessment boundary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6"/>
              </w:rPr>
              <w:t>Current stated intended purpose and described controls only; material purpose, model, data, user, autonomy or vendor changes require reassessment.</w:t>
            </w:r>
          </w:p>
        </w:tc>
      </w:tr>
    </w:tbl>
    <w:p>
      <w:pPr>
        <w:spacing w:after="0"/>
      </w:pPr>
    </w:p>
    <w:p>
      <w:pPr>
        <w:pStyle w:val="Heading2"/>
      </w:pPr>
      <w:r>
        <w:t>7.1 Positive ethical value</w:t>
      </w:r>
    </w:p>
    <w:p>
      <w:pPr>
        <w:pStyle w:val="ListBullet"/>
        <w:spacing w:after="50"/>
      </w:pPr>
      <w:r>
        <w:t>Can reduce repetitive engineering work and expand the range of design alternatives considered by skilled engineers.</w:t>
      </w:r>
    </w:p>
    <w:p>
      <w:pPr>
        <w:pStyle w:val="ListBullet"/>
        <w:spacing w:after="50"/>
      </w:pPr>
      <w:r>
        <w:t>May improve material efficiency, weight optimization and engineering iteration if benefits are validated rather than assumed.</w:t>
      </w:r>
    </w:p>
    <w:p>
      <w:pPr>
        <w:pStyle w:val="ListBullet"/>
        <w:spacing w:after="50"/>
      </w:pPr>
      <w:r>
        <w:t>Can support knowledge reuse when outputs remain traceable to approved engineering sources.</w:t>
      </w:r>
    </w:p>
    <w:p>
      <w:pPr>
        <w:pStyle w:val="Heading2"/>
      </w:pPr>
      <w:r>
        <w:t>7.2 Material ethical concerns</w:t>
      </w:r>
    </w:p>
    <w:p>
      <w:pPr>
        <w:pStyle w:val="ListBullet"/>
        <w:spacing w:after="50"/>
      </w:pPr>
      <w:r>
        <w:t>Persuasive but incorrect recommendations can shift engineer judgment and indirectly affect product quality or physical safety.</w:t>
      </w:r>
    </w:p>
    <w:p>
      <w:pPr>
        <w:pStyle w:val="ListBullet"/>
        <w:spacing w:after="50"/>
      </w:pPr>
      <w:r>
        <w:t>Formal human accountability can become nominal if schedule pressure or interface design causes routine deference to AI output.</w:t>
      </w:r>
    </w:p>
    <w:p>
      <w:pPr>
        <w:pStyle w:val="ListBullet"/>
        <w:spacing w:after="50"/>
      </w:pPr>
      <w:r>
        <w:t>Use of proprietary CAD/specifications creates ethical duties around confidentiality, provenance and fair treatment of intellectual property.</w:t>
      </w:r>
    </w:p>
    <w:p>
      <w:pPr>
        <w:pStyle w:val="ListBullet"/>
        <w:spacing w:after="50"/>
      </w:pPr>
      <w:r>
        <w:t>Opaque optimization objectives may privilege cost/speed over safety, maintainability or user well-being if trade-offs are not explicit.</w:t>
      </w:r>
    </w:p>
    <w:p>
      <w:pPr>
        <w:pStyle w:val="Heading2"/>
      </w:pPr>
      <w:r>
        <w:t>7.3 Ethical tensions / trade-offs</w:t>
      </w:r>
    </w:p>
    <w:p>
      <w:pPr>
        <w:pStyle w:val="ListBullet"/>
        <w:spacing w:after="50"/>
      </w:pPr>
      <w:r>
        <w:t>Innovation speed versus professional engineering independence and safety conservatism.</w:t>
      </w:r>
    </w:p>
    <w:p>
      <w:pPr>
        <w:pStyle w:val="ListBullet"/>
        <w:spacing w:after="50"/>
      </w:pPr>
      <w:r>
        <w:t>Broader design exploration versus traceability and reproducibility of how a recommendation was produced.</w:t>
      </w:r>
    </w:p>
    <w:p>
      <w:pPr>
        <w:pStyle w:val="ListBullet"/>
        <w:spacing w:after="50"/>
      </w:pPr>
      <w:r>
        <w:t>Potential material/resource savings versus computational and rework costs from poor suggestions.</w:t>
      </w:r>
    </w:p>
    <w:p>
      <w:pPr>
        <w:pStyle w:val="Heading2"/>
      </w:pPr>
      <w:r>
        <w:t>7.4 Required safeguards and evidence</w:t>
      </w:r>
    </w:p>
    <w:p>
      <w:pPr>
        <w:spacing w:after="40"/>
      </w:pPr>
      <w:r>
        <w:t>☐ Engineer remains accountable design authority and can reject/override AI output without adverse performance pressure.</w:t>
      </w:r>
    </w:p>
    <w:p>
      <w:pPr>
        <w:spacing w:after="40"/>
      </w:pPr>
      <w:r>
        <w:t>☐ No direct release of AI-generated design to manufacturing; validated engineering checks remain mandatory.</w:t>
      </w:r>
    </w:p>
    <w:p>
      <w:pPr>
        <w:spacing w:after="40"/>
      </w:pPr>
      <w:r>
        <w:t>☐ Model/output provenance and source/reference evidence are retained for material design decisions.</w:t>
      </w:r>
    </w:p>
    <w:p>
      <w:pPr>
        <w:spacing w:after="40"/>
      </w:pPr>
      <w:r>
        <w:t>☐ Unsafe-recommendation, validation-failure and override patterns are monitored.</w:t>
      </w:r>
    </w:p>
    <w:p>
      <w:pPr>
        <w:spacing w:after="40"/>
      </w:pPr>
      <w:r>
        <w:t>☐ Confidential IP is restricted to approved providers/tenants and contractual data-use terms.</w:t>
      </w:r>
    </w:p>
    <w:p>
      <w:pPr>
        <w:spacing w:after="40"/>
      </w:pPr>
      <w:r>
        <w:t>☐ Product Safety &amp; Quality review is mandatory before safety-critical expansion.</w:t>
      </w:r>
    </w:p>
    <w:p>
      <w:pPr>
        <w:pStyle w:val="Heading2"/>
      </w:pPr>
      <w:r>
        <w:t>7.5 Ethical monitoring indicators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vAlign w:val="center"/>
            <w:tcMar>
              <w:top w:w="70" w:type="dxa"/>
              <w:start w:w="85" w:type="dxa"/>
              <w:bottom w:w="70" w:type="dxa"/>
              <w:end w:w="85" w:type="dxa"/>
            </w:tcMar>
            <w:shd w:fill="173B57"/>
          </w:tcPr>
          <w:p>
            <w:pPr>
              <w:spacing w:before="0" w:after="0"/>
            </w:pPr>
            <w:r/>
            <w:r>
              <w:rPr>
                <w:rFonts w:ascii="Aptos" w:hAnsi="Aptos"/>
                <w:b/>
                <w:color w:val="FFFFFF"/>
                <w:sz w:val="15"/>
              </w:rPr>
              <w:t>Indicator</w:t>
            </w:r>
          </w:p>
        </w:tc>
        <w:tc>
          <w:tcPr>
            <w:tcW w:type="dxa" w:w="5616"/>
            <w:vAlign w:val="center"/>
            <w:tcMar>
              <w:top w:w="70" w:type="dxa"/>
              <w:start w:w="85" w:type="dxa"/>
              <w:bottom w:w="70" w:type="dxa"/>
              <w:end w:w="85" w:type="dxa"/>
            </w:tcMar>
            <w:shd w:fill="173B57"/>
          </w:tcPr>
          <w:p>
            <w:pPr>
              <w:spacing w:before="0" w:after="0"/>
            </w:pPr>
            <w:r/>
            <w:r>
              <w:rPr>
                <w:rFonts w:ascii="Aptos" w:hAnsi="Aptos"/>
                <w:b/>
                <w:color w:val="FFFFFF"/>
                <w:sz w:val="15"/>
              </w:rPr>
              <w:t>Why it matters</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Engineer override rate</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Extremely low override can indicate automation bias or interface pressure; very high override can indicate poor usefulness.</w:t>
            </w:r>
          </w:p>
        </w:tc>
      </w:tr>
      <w:tr>
        <w:tc>
          <w:tcPr>
            <w:tcW w:type="dxa" w:w="3744"/>
            <w:vAlign w:val="center"/>
            <w:tcMar>
              <w:top w:w="70" w:type="dxa"/>
              <w:start w:w="85" w:type="dxa"/>
              <w:bottom w:w="70" w:type="dxa"/>
              <w:end w:w="85" w:type="dxa"/>
            </w:tcMar>
            <w:shd w:fill="F4F6F7"/>
          </w:tcPr>
          <w:p>
            <w:pPr>
              <w:spacing w:before="0" w:after="0"/>
            </w:pPr>
            <w:r/>
            <w:r>
              <w:rPr>
                <w:rFonts w:ascii="Aptos" w:hAnsi="Aptos"/>
                <w:b w:val="0"/>
                <w:color w:val="27343E"/>
                <w:sz w:val="15"/>
              </w:rPr>
              <w:t>Validation failure / unsafe recommendation rate</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Shows whether AI suggestions create downstream rework or safety concern.</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Source/provenance coverage</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Supports traceability and informed professional judgment.</w:t>
            </w:r>
          </w:p>
        </w:tc>
      </w:tr>
      <w:tr>
        <w:tc>
          <w:tcPr>
            <w:tcW w:type="dxa" w:w="3744"/>
            <w:vAlign w:val="center"/>
            <w:tcMar>
              <w:top w:w="70" w:type="dxa"/>
              <w:start w:w="85" w:type="dxa"/>
              <w:bottom w:w="70" w:type="dxa"/>
              <w:end w:w="85" w:type="dxa"/>
            </w:tcMar>
            <w:shd w:fill="F4F6F7"/>
          </w:tcPr>
          <w:p>
            <w:pPr>
              <w:spacing w:before="0" w:after="0"/>
            </w:pPr>
            <w:r/>
            <w:r>
              <w:rPr>
                <w:rFonts w:ascii="Aptos" w:hAnsi="Aptos"/>
                <w:b w:val="0"/>
                <w:color w:val="27343E"/>
                <w:sz w:val="15"/>
              </w:rPr>
              <w:t>Design-related incident / near miss</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Requires stop-use and reassessment where AI contribution is plausible.</w:t>
            </w:r>
          </w:p>
        </w:tc>
      </w:tr>
    </w:tbl>
    <w:p>
      <w:pPr>
        <w:spacing w:after="0"/>
      </w:pPr>
    </w:p>
    <w:p>
      <w:pPr>
        <w:pStyle w:val="Heading2"/>
      </w:pPr>
      <w:r>
        <w:t>7.6 Reassessment triggers</w:t>
      </w:r>
    </w:p>
    <w:p>
      <w:pPr>
        <w:pStyle w:val="ListBullet"/>
        <w:spacing w:after="50"/>
      </w:pPr>
      <w:r>
        <w:t>Removal/reduction of engineer review.</w:t>
      </w:r>
    </w:p>
    <w:p>
      <w:pPr>
        <w:pStyle w:val="ListBullet"/>
        <w:spacing w:after="50"/>
      </w:pPr>
      <w:r>
        <w:t>Use on safety-critical products or functions.</w:t>
      </w:r>
    </w:p>
    <w:p>
      <w:pPr>
        <w:pStyle w:val="ListBullet"/>
        <w:spacing w:after="50"/>
      </w:pPr>
      <w:r>
        <w:t>New model/provider or material optimization-objective change.</w:t>
      </w:r>
    </w:p>
    <w:p>
      <w:pPr>
        <w:pStyle w:val="ListBullet"/>
        <w:spacing w:after="50"/>
      </w:pPr>
      <w:r>
        <w:t>New confidential data sources or external integrations.</w:t>
      </w:r>
    </w:p>
    <w:p>
      <w:pPr>
        <w:pStyle w:val="ListBullet"/>
        <w:spacing w:after="50"/>
      </w:pPr>
      <w:r>
        <w:t>Material validation failure, product incident or near miss.</w:t>
      </w:r>
    </w:p>
    <w:p>
      <w:pPr>
        <w:pStyle w:val="Heading1"/>
      </w:pPr>
      <w:r>
        <w:t>8. AI-002 — QuackBot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tcMar>
              <w:top w:w="70" w:type="dxa"/>
              <w:start w:w="85" w:type="dxa"/>
              <w:bottom w:w="70" w:type="dxa"/>
              <w:end w:w="85" w:type="dxa"/>
            </w:tcMar>
            <w:shd w:fill="173B57"/>
          </w:tcPr>
          <w:p>
            <w:pPr>
              <w:spacing w:before="0" w:after="0"/>
            </w:pPr>
            <w:r/>
            <w:r>
              <w:rPr>
                <w:rFonts w:ascii="Aptos" w:hAnsi="Aptos"/>
                <w:b/>
                <w:color w:val="FFFFFF"/>
                <w:sz w:val="16"/>
              </w:rPr>
              <w:t>Field</w:t>
            </w:r>
          </w:p>
        </w:tc>
        <w:tc>
          <w:tcPr>
            <w:tcW w:type="dxa" w:w="6768"/>
            <w:vAlign w:val="center"/>
            <w:tcMar>
              <w:top w:w="70" w:type="dxa"/>
              <w:start w:w="85" w:type="dxa"/>
              <w:bottom w:w="70" w:type="dxa"/>
              <w:end w:w="85" w:type="dxa"/>
            </w:tcMar>
            <w:shd w:fill="173B57"/>
          </w:tcPr>
          <w:p>
            <w:pPr>
              <w:spacing w:before="0" w:after="0"/>
            </w:pPr>
            <w:r/>
            <w:r>
              <w:rPr>
                <w:rFonts w:ascii="Aptos" w:hAnsi="Aptos"/>
                <w:b/>
                <w:color w:val="FFFFFF"/>
                <w:sz w:val="16"/>
              </w:rPr>
              <w:t>Assessment</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6"/>
              </w:rPr>
              <w:t>Business owner</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6"/>
              </w:rPr>
              <w:t>Clara Duckley — Director Customer Operations</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6"/>
              </w:rPr>
              <w:t>Ethical priority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6"/>
              </w:rPr>
              <w:t>E3 — Significant</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6"/>
              </w:rPr>
              <w:t>Current governance decision</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6"/>
              </w:rPr>
              <w:t>Production blocked pending gates</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6"/>
              </w:rPr>
              <w:t>Assessment boundary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6"/>
              </w:rPr>
              <w:t>Current stated intended purpose and described controls only; material purpose, model, data, user, autonomy or vendor changes require reassessment.</w:t>
            </w:r>
          </w:p>
        </w:tc>
      </w:tr>
    </w:tbl>
    <w:p>
      <w:pPr>
        <w:spacing w:after="0"/>
      </w:pPr>
    </w:p>
    <w:p>
      <w:pPr>
        <w:pStyle w:val="Heading2"/>
      </w:pPr>
      <w:r>
        <w:t>8.1 Positive ethical value</w:t>
      </w:r>
    </w:p>
    <w:p>
      <w:pPr>
        <w:pStyle w:val="ListBullet"/>
        <w:spacing w:after="50"/>
      </w:pPr>
      <w:r>
        <w:t>Can improve availability and response time for routine customer support.</w:t>
      </w:r>
    </w:p>
    <w:p>
      <w:pPr>
        <w:pStyle w:val="ListBullet"/>
        <w:spacing w:after="50"/>
      </w:pPr>
      <w:r>
        <w:t>May improve accessibility when users can interact in natural language and are offered alternative human channels.</w:t>
      </w:r>
    </w:p>
    <w:p>
      <w:pPr>
        <w:pStyle w:val="ListBullet"/>
        <w:spacing w:after="50"/>
      </w:pPr>
      <w:r>
        <w:t>Can standardize retrieval of approved product and warranty information when grounding is effective.</w:t>
      </w:r>
    </w:p>
    <w:p>
      <w:pPr>
        <w:pStyle w:val="Heading2"/>
      </w:pPr>
      <w:r>
        <w:t>8.2 Material ethical concerns</w:t>
      </w:r>
    </w:p>
    <w:p>
      <w:pPr>
        <w:pStyle w:val="ListBullet"/>
        <w:spacing w:after="50"/>
      </w:pPr>
      <w:r>
        <w:t>Customers may reasonably treat confident technical or warranty statements as authoritative even when the model is uncertain.</w:t>
      </w:r>
    </w:p>
    <w:p>
      <w:pPr>
        <w:pStyle w:val="ListBullet"/>
        <w:spacing w:after="50"/>
      </w:pPr>
      <w:r>
        <w:t>Safety-adjacent troubleshooting can expose users to harm if the system hallucinates, omits context or fails to escalate.</w:t>
      </w:r>
    </w:p>
    <w:p>
      <w:pPr>
        <w:pStyle w:val="ListBullet"/>
        <w:spacing w:after="50"/>
      </w:pPr>
      <w:r>
        <w:t>Privacy and confidentiality can be compromised through customer input, retrieval errors or prompt-injection attacks.</w:t>
      </w:r>
    </w:p>
    <w:p>
      <w:pPr>
        <w:pStyle w:val="ListBullet"/>
        <w:spacing w:after="50"/>
      </w:pPr>
      <w:r>
        <w:t>Users may not understand the limits of AI-generated advice, creating an information asymmetry.</w:t>
      </w:r>
    </w:p>
    <w:p>
      <w:pPr>
        <w:pStyle w:val="ListBullet"/>
        <w:spacing w:after="50"/>
      </w:pPr>
      <w:r>
        <w:t>Accessibility can improve for some users while deteriorating for others if language, disability or digital-access needs are not tested.</w:t>
      </w:r>
    </w:p>
    <w:p>
      <w:pPr>
        <w:pStyle w:val="Heading2"/>
      </w:pPr>
      <w:r>
        <w:t>8.3 Ethical tensions / trade-offs</w:t>
      </w:r>
    </w:p>
    <w:p>
      <w:pPr>
        <w:pStyle w:val="ListBullet"/>
        <w:spacing w:after="50"/>
      </w:pPr>
      <w:r>
        <w:t>24/7 automated service versus preserving meaningful access to human support.</w:t>
      </w:r>
    </w:p>
    <w:p>
      <w:pPr>
        <w:pStyle w:val="ListBullet"/>
        <w:spacing w:after="50"/>
      </w:pPr>
      <w:r>
        <w:t>Fast resolution versus conservative escalation for uncertain or high-impact cases.</w:t>
      </w:r>
    </w:p>
    <w:p>
      <w:pPr>
        <w:pStyle w:val="ListBullet"/>
        <w:spacing w:after="50"/>
      </w:pPr>
      <w:r>
        <w:t>Personalized support versus data minimization and privacy.</w:t>
      </w:r>
    </w:p>
    <w:p>
      <w:pPr>
        <w:pStyle w:val="Heading2"/>
      </w:pPr>
      <w:r>
        <w:t>8.4 Required safeguards and evidence</w:t>
      </w:r>
    </w:p>
    <w:p>
      <w:pPr>
        <w:spacing w:after="40"/>
      </w:pPr>
      <w:r>
        <w:t>☐ Clear AI disclosure and capability/limitation communication appropriate to the interaction.</w:t>
      </w:r>
    </w:p>
    <w:p>
      <w:pPr>
        <w:spacing w:after="40"/>
      </w:pPr>
      <w:r>
        <w:t>☐ Human escalation for safety, legal, warranty-exception and other consequential cases.</w:t>
      </w:r>
    </w:p>
    <w:p>
      <w:pPr>
        <w:spacing w:after="40"/>
      </w:pPr>
      <w:r>
        <w:t>☐ Grounding to approved knowledge; unsupported-answer detection and pre-release evaluation.</w:t>
      </w:r>
    </w:p>
    <w:p>
      <w:pPr>
        <w:spacing w:after="40"/>
      </w:pPr>
      <w:r>
        <w:t>☐ Prompt/RAG injection testing, least-privilege retrieval and sensitive-data controls.</w:t>
      </w:r>
    </w:p>
    <w:p>
      <w:pPr>
        <w:spacing w:after="40"/>
      </w:pPr>
      <w:r>
        <w:t>☐ Accessible human alternative and complaint/challenge route.</w:t>
      </w:r>
    </w:p>
    <w:p>
      <w:pPr>
        <w:spacing w:after="40"/>
      </w:pPr>
      <w:r>
        <w:t>☐ No irreversible account/refund/product action without approved workflow and authorization.</w:t>
      </w:r>
    </w:p>
    <w:p>
      <w:pPr>
        <w:pStyle w:val="Heading2"/>
      </w:pPr>
      <w:r>
        <w:t>8.5 Ethical monitoring indicators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vAlign w:val="center"/>
            <w:tcMar>
              <w:top w:w="70" w:type="dxa"/>
              <w:start w:w="85" w:type="dxa"/>
              <w:bottom w:w="70" w:type="dxa"/>
              <w:end w:w="85" w:type="dxa"/>
            </w:tcMar>
            <w:shd w:fill="173B57"/>
          </w:tcPr>
          <w:p>
            <w:pPr>
              <w:spacing w:before="0" w:after="0"/>
            </w:pPr>
            <w:r/>
            <w:r>
              <w:rPr>
                <w:rFonts w:ascii="Aptos" w:hAnsi="Aptos"/>
                <w:b/>
                <w:color w:val="FFFFFF"/>
                <w:sz w:val="15"/>
              </w:rPr>
              <w:t>Indicator</w:t>
            </w:r>
          </w:p>
        </w:tc>
        <w:tc>
          <w:tcPr>
            <w:tcW w:type="dxa" w:w="5616"/>
            <w:vAlign w:val="center"/>
            <w:tcMar>
              <w:top w:w="70" w:type="dxa"/>
              <w:start w:w="85" w:type="dxa"/>
              <w:bottom w:w="70" w:type="dxa"/>
              <w:end w:w="85" w:type="dxa"/>
            </w:tcMar>
            <w:shd w:fill="173B57"/>
          </w:tcPr>
          <w:p>
            <w:pPr>
              <w:spacing w:before="0" w:after="0"/>
            </w:pPr>
            <w:r/>
            <w:r>
              <w:rPr>
                <w:rFonts w:ascii="Aptos" w:hAnsi="Aptos"/>
                <w:b/>
                <w:color w:val="FFFFFF"/>
                <w:sz w:val="15"/>
              </w:rPr>
              <w:t>Why it matters</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Unsupported-answer / hallucination rate</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Direct indicator of misleading customer guidance.</w:t>
            </w:r>
          </w:p>
        </w:tc>
      </w:tr>
      <w:tr>
        <w:tc>
          <w:tcPr>
            <w:tcW w:type="dxa" w:w="3744"/>
            <w:vAlign w:val="center"/>
            <w:tcMar>
              <w:top w:w="70" w:type="dxa"/>
              <w:start w:w="85" w:type="dxa"/>
              <w:bottom w:w="70" w:type="dxa"/>
              <w:end w:w="85" w:type="dxa"/>
            </w:tcMar>
            <w:shd w:fill="F4F6F7"/>
          </w:tcPr>
          <w:p>
            <w:pPr>
              <w:spacing w:before="0" w:after="0"/>
            </w:pPr>
            <w:r/>
            <w:r>
              <w:rPr>
                <w:rFonts w:ascii="Aptos" w:hAnsi="Aptos"/>
                <w:b w:val="0"/>
                <w:color w:val="27343E"/>
                <w:sz w:val="15"/>
              </w:rPr>
              <w:t>Correct escalation rate</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Tests whether human oversight is available when ethically necessary.</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Customer complaint / challenge rate</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Surfaces confusion, harm and contested advice.</w:t>
            </w:r>
          </w:p>
        </w:tc>
      </w:tr>
      <w:tr>
        <w:tc>
          <w:tcPr>
            <w:tcW w:type="dxa" w:w="3744"/>
            <w:vAlign w:val="center"/>
            <w:tcMar>
              <w:top w:w="70" w:type="dxa"/>
              <w:start w:w="85" w:type="dxa"/>
              <w:bottom w:w="70" w:type="dxa"/>
              <w:end w:w="85" w:type="dxa"/>
            </w:tcMar>
            <w:shd w:fill="F4F6F7"/>
          </w:tcPr>
          <w:p>
            <w:pPr>
              <w:spacing w:before="0" w:after="0"/>
            </w:pPr>
            <w:r/>
            <w:r>
              <w:rPr>
                <w:rFonts w:ascii="Aptos" w:hAnsi="Aptos"/>
                <w:b w:val="0"/>
                <w:color w:val="27343E"/>
                <w:sz w:val="15"/>
              </w:rPr>
              <w:t>Sensitive-data exposure events</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Any confirmed event can require containment.</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Human-channel availability / abandonment</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Checks that automation does not make human help practically inaccessible.</w:t>
            </w:r>
          </w:p>
        </w:tc>
      </w:tr>
    </w:tbl>
    <w:p>
      <w:pPr>
        <w:spacing w:after="0"/>
      </w:pPr>
    </w:p>
    <w:p>
      <w:pPr>
        <w:pStyle w:val="Heading2"/>
      </w:pPr>
      <w:r>
        <w:t>8.6 Reassessment triggers</w:t>
      </w:r>
    </w:p>
    <w:p>
      <w:pPr>
        <w:pStyle w:val="ListBullet"/>
        <w:spacing w:after="50"/>
      </w:pPr>
      <w:r>
        <w:t>New safety-critical troubleshooting capability.</w:t>
      </w:r>
    </w:p>
    <w:p>
      <w:pPr>
        <w:pStyle w:val="ListBullet"/>
        <w:spacing w:after="50"/>
      </w:pPr>
      <w:r>
        <w:t>Autonomous customer account/refund/product actions.</w:t>
      </w:r>
    </w:p>
    <w:p>
      <w:pPr>
        <w:pStyle w:val="ListBullet"/>
        <w:spacing w:after="50"/>
      </w:pPr>
      <w:r>
        <w:t>New personal-data categories or high-sensitivity support context.</w:t>
      </w:r>
    </w:p>
    <w:p>
      <w:pPr>
        <w:pStyle w:val="ListBullet"/>
        <w:spacing w:after="50"/>
      </w:pPr>
      <w:r>
        <w:t>Material model/RAG/provider change.</w:t>
      </w:r>
    </w:p>
    <w:p>
      <w:pPr>
        <w:pStyle w:val="ListBullet"/>
        <w:spacing w:after="50"/>
      </w:pPr>
      <w:r>
        <w:t>Pattern of harmful output, complaints or security events.</w:t>
      </w:r>
    </w:p>
    <w:p>
      <w:pPr>
        <w:pStyle w:val="Heading1"/>
      </w:pPr>
      <w:r>
        <w:t>9. AI-003 — FeatherForecast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tcMar>
              <w:top w:w="70" w:type="dxa"/>
              <w:start w:w="85" w:type="dxa"/>
              <w:bottom w:w="70" w:type="dxa"/>
              <w:end w:w="85" w:type="dxa"/>
            </w:tcMar>
            <w:shd w:fill="173B57"/>
          </w:tcPr>
          <w:p>
            <w:pPr>
              <w:spacing w:before="0" w:after="0"/>
            </w:pPr>
            <w:r/>
            <w:r>
              <w:rPr>
                <w:rFonts w:ascii="Aptos" w:hAnsi="Aptos"/>
                <w:b/>
                <w:color w:val="FFFFFF"/>
                <w:sz w:val="16"/>
              </w:rPr>
              <w:t>Field</w:t>
            </w:r>
          </w:p>
        </w:tc>
        <w:tc>
          <w:tcPr>
            <w:tcW w:type="dxa" w:w="6768"/>
            <w:vAlign w:val="center"/>
            <w:tcMar>
              <w:top w:w="70" w:type="dxa"/>
              <w:start w:w="85" w:type="dxa"/>
              <w:bottom w:w="70" w:type="dxa"/>
              <w:end w:w="85" w:type="dxa"/>
            </w:tcMar>
            <w:shd w:fill="173B57"/>
          </w:tcPr>
          <w:p>
            <w:pPr>
              <w:spacing w:before="0" w:after="0"/>
            </w:pPr>
            <w:r/>
            <w:r>
              <w:rPr>
                <w:rFonts w:ascii="Aptos" w:hAnsi="Aptos"/>
                <w:b/>
                <w:color w:val="FFFFFF"/>
                <w:sz w:val="16"/>
              </w:rPr>
              <w:t>Assessment</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6"/>
              </w:rPr>
              <w:t>Business owner</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6"/>
              </w:rPr>
              <w:t>Tobias Duckman — Director Supply Chain</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6"/>
              </w:rPr>
              <w:t>Ethical priority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6"/>
              </w:rPr>
              <w:t>E2 — Material</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6"/>
              </w:rPr>
              <w:t>Current governance decision</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6"/>
              </w:rPr>
              <w:t>Continue with monitoring</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6"/>
              </w:rPr>
              <w:t>Assessment boundary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6"/>
              </w:rPr>
              <w:t>Current stated intended purpose and described controls only; material purpose, model, data, user, autonomy or vendor changes require reassessment.</w:t>
            </w:r>
          </w:p>
        </w:tc>
      </w:tr>
    </w:tbl>
    <w:p>
      <w:pPr>
        <w:spacing w:after="0"/>
      </w:pPr>
    </w:p>
    <w:p>
      <w:pPr>
        <w:pStyle w:val="Heading2"/>
      </w:pPr>
      <w:r>
        <w:t>9.1 Positive ethical value</w:t>
      </w:r>
    </w:p>
    <w:p>
      <w:pPr>
        <w:pStyle w:val="ListBullet"/>
        <w:spacing w:after="50"/>
      </w:pPr>
      <w:r>
        <w:t>Can reduce stockouts, excess inventory and operational waste when forecasts are accurate and appropriately used.</w:t>
      </w:r>
    </w:p>
    <w:p>
      <w:pPr>
        <w:pStyle w:val="ListBullet"/>
        <w:spacing w:after="50"/>
      </w:pPr>
      <w:r>
        <w:t>May support more stable manufacturing planning and earlier identification of supply risks.</w:t>
      </w:r>
    </w:p>
    <w:p>
      <w:pPr>
        <w:pStyle w:val="ListBullet"/>
        <w:spacing w:after="50"/>
      </w:pPr>
      <w:r>
        <w:t>Potentially reduces obsolete inventory and associated material waste.</w:t>
      </w:r>
    </w:p>
    <w:p>
      <w:pPr>
        <w:pStyle w:val="Heading2"/>
      </w:pPr>
      <w:r>
        <w:t>9.2 Material ethical concerns</w:t>
      </w:r>
    </w:p>
    <w:p>
      <w:pPr>
        <w:pStyle w:val="ListBullet"/>
        <w:spacing w:after="50"/>
      </w:pPr>
      <w:r>
        <w:t>Forecast opacity and automation bias can cause planners to defer to the system when local knowledge indicates otherwise.</w:t>
      </w:r>
    </w:p>
    <w:p>
      <w:pPr>
        <w:pStyle w:val="ListBullet"/>
        <w:spacing w:after="50"/>
      </w:pPr>
      <w:r>
        <w:t>Bad forecasts can indirectly affect workforce schedules, overtime, supplier demand and customer availability.</w:t>
      </w:r>
    </w:p>
    <w:p>
      <w:pPr>
        <w:pStyle w:val="ListBullet"/>
        <w:spacing w:after="50"/>
      </w:pPr>
      <w:r>
        <w:t>Supplier relationships can be strained if model-driven volatility is treated as objective rather than uncertain planning advice.</w:t>
      </w:r>
    </w:p>
    <w:p>
      <w:pPr>
        <w:pStyle w:val="ListBullet"/>
        <w:spacing w:after="50"/>
      </w:pPr>
      <w:r>
        <w:t>Environmental benefits should not be claimed without measurement of actual waste/resource effects.</w:t>
      </w:r>
    </w:p>
    <w:p>
      <w:pPr>
        <w:pStyle w:val="Heading2"/>
      </w:pPr>
      <w:r>
        <w:t>9.3 Ethical tensions / trade-offs</w:t>
      </w:r>
    </w:p>
    <w:p>
      <w:pPr>
        <w:pStyle w:val="ListBullet"/>
        <w:spacing w:after="50"/>
      </w:pPr>
      <w:r>
        <w:t>Efficiency and inventory reduction versus resilience buffers and supplier stability.</w:t>
      </w:r>
    </w:p>
    <w:p>
      <w:pPr>
        <w:pStyle w:val="ListBullet"/>
        <w:spacing w:after="50"/>
      </w:pPr>
      <w:r>
        <w:t>Consistent forecasting versus preserving professional judgment and local operational knowledge.</w:t>
      </w:r>
    </w:p>
    <w:p>
      <w:pPr>
        <w:pStyle w:val="Heading2"/>
      </w:pPr>
      <w:r>
        <w:t>9.4 Required safeguards and evidence</w:t>
      </w:r>
    </w:p>
    <w:p>
      <w:pPr>
        <w:spacing w:after="40"/>
      </w:pPr>
      <w:r>
        <w:t>☐ Authorized manager remains accountable for purchasing and production commitments.</w:t>
      </w:r>
    </w:p>
    <w:p>
      <w:pPr>
        <w:spacing w:after="40"/>
      </w:pPr>
      <w:r>
        <w:t>☐ Forecast uncertainty/ranges and key drivers are understandable to planners where practical.</w:t>
      </w:r>
    </w:p>
    <w:p>
      <w:pPr>
        <w:spacing w:after="40"/>
      </w:pPr>
      <w:r>
        <w:t>☐ Back-testing, drift monitoring and override documentation remain in place.</w:t>
      </w:r>
    </w:p>
    <w:p>
      <w:pPr>
        <w:spacing w:after="40"/>
      </w:pPr>
      <w:r>
        <w:t>☐ Supplier/customer confidential data use remains purpose-limited.</w:t>
      </w:r>
    </w:p>
    <w:p>
      <w:pPr>
        <w:spacing w:after="40"/>
      </w:pPr>
      <w:r>
        <w:t>☐ Workforce/supplier impacts are reviewed if automated planning scope expands.</w:t>
      </w:r>
    </w:p>
    <w:p>
      <w:pPr>
        <w:pStyle w:val="Heading2"/>
      </w:pPr>
      <w:r>
        <w:t>9.5 Ethical monitoring indicators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vAlign w:val="center"/>
            <w:tcMar>
              <w:top w:w="70" w:type="dxa"/>
              <w:start w:w="85" w:type="dxa"/>
              <w:bottom w:w="70" w:type="dxa"/>
              <w:end w:w="85" w:type="dxa"/>
            </w:tcMar>
            <w:shd w:fill="173B57"/>
          </w:tcPr>
          <w:p>
            <w:pPr>
              <w:spacing w:before="0" w:after="0"/>
            </w:pPr>
            <w:r/>
            <w:r>
              <w:rPr>
                <w:rFonts w:ascii="Aptos" w:hAnsi="Aptos"/>
                <w:b/>
                <w:color w:val="FFFFFF"/>
                <w:sz w:val="15"/>
              </w:rPr>
              <w:t>Indicator</w:t>
            </w:r>
          </w:p>
        </w:tc>
        <w:tc>
          <w:tcPr>
            <w:tcW w:type="dxa" w:w="5616"/>
            <w:vAlign w:val="center"/>
            <w:tcMar>
              <w:top w:w="70" w:type="dxa"/>
              <w:start w:w="85" w:type="dxa"/>
              <w:bottom w:w="70" w:type="dxa"/>
              <w:end w:w="85" w:type="dxa"/>
            </w:tcMar>
            <w:shd w:fill="173B57"/>
          </w:tcPr>
          <w:p>
            <w:pPr>
              <w:spacing w:before="0" w:after="0"/>
            </w:pPr>
            <w:r/>
            <w:r>
              <w:rPr>
                <w:rFonts w:ascii="Aptos" w:hAnsi="Aptos"/>
                <w:b/>
                <w:color w:val="FFFFFF"/>
                <w:sz w:val="15"/>
              </w:rPr>
              <w:t>Why it matters</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Forecast bias and error by product/supplier segment</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Persistent directional error can systematically shift burdens.</w:t>
            </w:r>
          </w:p>
        </w:tc>
      </w:tr>
      <w:tr>
        <w:tc>
          <w:tcPr>
            <w:tcW w:type="dxa" w:w="3744"/>
            <w:vAlign w:val="center"/>
            <w:tcMar>
              <w:top w:w="70" w:type="dxa"/>
              <w:start w:w="85" w:type="dxa"/>
              <w:bottom w:w="70" w:type="dxa"/>
              <w:end w:w="85" w:type="dxa"/>
            </w:tcMar>
            <w:shd w:fill="F4F6F7"/>
          </w:tcPr>
          <w:p>
            <w:pPr>
              <w:spacing w:before="0" w:after="0"/>
            </w:pPr>
            <w:r/>
            <w:r>
              <w:rPr>
                <w:rFonts w:ascii="Aptos" w:hAnsi="Aptos"/>
                <w:b w:val="0"/>
                <w:color w:val="27343E"/>
                <w:sz w:val="15"/>
              </w:rPr>
              <w:t>Planner override rate and rationale</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Checks over-reliance and whether local expertise remains usable.</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Stockout / excess inventory / obsolescence</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Measures promised operational and waste benefits.</w:t>
            </w:r>
          </w:p>
        </w:tc>
      </w:tr>
      <w:tr>
        <w:tc>
          <w:tcPr>
            <w:tcW w:type="dxa" w:w="3744"/>
            <w:vAlign w:val="center"/>
            <w:tcMar>
              <w:top w:w="70" w:type="dxa"/>
              <w:start w:w="85" w:type="dxa"/>
              <w:bottom w:w="70" w:type="dxa"/>
              <w:end w:w="85" w:type="dxa"/>
            </w:tcMar>
            <w:shd w:fill="F4F6F7"/>
          </w:tcPr>
          <w:p>
            <w:pPr>
              <w:spacing w:before="0" w:after="0"/>
            </w:pPr>
            <w:r/>
            <w:r>
              <w:rPr>
                <w:rFonts w:ascii="Aptos" w:hAnsi="Aptos"/>
                <w:b w:val="0"/>
                <w:color w:val="27343E"/>
                <w:sz w:val="15"/>
              </w:rPr>
              <w:t>Supplier volatility / expedites</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Can reveal downstream commercial burdens from poor forecasts.</w:t>
            </w:r>
          </w:p>
        </w:tc>
      </w:tr>
    </w:tbl>
    <w:p>
      <w:pPr>
        <w:spacing w:after="0"/>
      </w:pPr>
    </w:p>
    <w:p>
      <w:pPr>
        <w:pStyle w:val="Heading2"/>
      </w:pPr>
      <w:r>
        <w:t>9.6 Reassessment triggers</w:t>
      </w:r>
    </w:p>
    <w:p>
      <w:pPr>
        <w:pStyle w:val="ListBullet"/>
        <w:spacing w:after="50"/>
      </w:pPr>
      <w:r>
        <w:t>Automatic purchasing or production commitments.</w:t>
      </w:r>
    </w:p>
    <w:p>
      <w:pPr>
        <w:pStyle w:val="ListBullet"/>
        <w:spacing w:after="50"/>
      </w:pPr>
      <w:r>
        <w:t>Use for employment/performance decisions.</w:t>
      </w:r>
    </w:p>
    <w:p>
      <w:pPr>
        <w:pStyle w:val="ListBullet"/>
        <w:spacing w:after="50"/>
      </w:pPr>
      <w:r>
        <w:t>New external/sensitive datasets.</w:t>
      </w:r>
    </w:p>
    <w:p>
      <w:pPr>
        <w:pStyle w:val="ListBullet"/>
        <w:spacing w:after="50"/>
      </w:pPr>
      <w:r>
        <w:t>Major model or forecasting-objective change.</w:t>
      </w:r>
    </w:p>
    <w:p>
      <w:pPr>
        <w:pStyle w:val="ListBullet"/>
        <w:spacing w:after="50"/>
      </w:pPr>
      <w:r>
        <w:t>Material persistent drift or unexplained segment bias.</w:t>
      </w:r>
    </w:p>
    <w:p>
      <w:pPr>
        <w:pStyle w:val="Heading1"/>
      </w:pPr>
      <w:r>
        <w:t>10. AI-004 — WingInspect Vision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tcMar>
              <w:top w:w="70" w:type="dxa"/>
              <w:start w:w="85" w:type="dxa"/>
              <w:bottom w:w="70" w:type="dxa"/>
              <w:end w:w="85" w:type="dxa"/>
            </w:tcMar>
            <w:shd w:fill="173B57"/>
          </w:tcPr>
          <w:p>
            <w:pPr>
              <w:spacing w:before="0" w:after="0"/>
            </w:pPr>
            <w:r/>
            <w:r>
              <w:rPr>
                <w:rFonts w:ascii="Aptos" w:hAnsi="Aptos"/>
                <w:b/>
                <w:color w:val="FFFFFF"/>
                <w:sz w:val="16"/>
              </w:rPr>
              <w:t>Field</w:t>
            </w:r>
          </w:p>
        </w:tc>
        <w:tc>
          <w:tcPr>
            <w:tcW w:type="dxa" w:w="6768"/>
            <w:vAlign w:val="center"/>
            <w:tcMar>
              <w:top w:w="70" w:type="dxa"/>
              <w:start w:w="85" w:type="dxa"/>
              <w:bottom w:w="70" w:type="dxa"/>
              <w:end w:w="85" w:type="dxa"/>
            </w:tcMar>
            <w:shd w:fill="173B57"/>
          </w:tcPr>
          <w:p>
            <w:pPr>
              <w:spacing w:before="0" w:after="0"/>
            </w:pPr>
            <w:r/>
            <w:r>
              <w:rPr>
                <w:rFonts w:ascii="Aptos" w:hAnsi="Aptos"/>
                <w:b/>
                <w:color w:val="FFFFFF"/>
                <w:sz w:val="16"/>
              </w:rPr>
              <w:t>Assessment</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6"/>
              </w:rPr>
              <w:t>Business owner</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6"/>
              </w:rPr>
              <w:t>Henrietta Duckwell — Director Manufacturing</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6"/>
              </w:rPr>
              <w:t>Ethical priority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6"/>
              </w:rPr>
              <w:t>E3 — Significant</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6"/>
              </w:rPr>
              <w:t>Current governance decision</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6"/>
              </w:rPr>
              <w:t>Restricted pilot; no safety-critical release</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6"/>
              </w:rPr>
              <w:t>Assessment boundary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6"/>
              </w:rPr>
              <w:t>Current stated intended purpose and described controls only; material purpose, model, data, user, autonomy or vendor changes require reassessment.</w:t>
            </w:r>
          </w:p>
        </w:tc>
      </w:tr>
    </w:tbl>
    <w:p>
      <w:pPr>
        <w:spacing w:after="0"/>
      </w:pPr>
    </w:p>
    <w:p>
      <w:pPr>
        <w:pStyle w:val="Heading2"/>
      </w:pPr>
      <w:r>
        <w:t>10.1 Positive ethical value</w:t>
      </w:r>
    </w:p>
    <w:p>
      <w:pPr>
        <w:pStyle w:val="ListBullet"/>
        <w:spacing w:after="50"/>
      </w:pPr>
      <w:r>
        <w:t>Can improve consistency and focus human inspection on likely defect areas.</w:t>
      </w:r>
    </w:p>
    <w:p>
      <w:pPr>
        <w:pStyle w:val="ListBullet"/>
        <w:spacing w:after="50"/>
      </w:pPr>
      <w:r>
        <w:t>May reduce defect escapes and provide earlier process-quality feedback.</w:t>
      </w:r>
    </w:p>
    <w:p>
      <w:pPr>
        <w:pStyle w:val="ListBullet"/>
        <w:spacing w:after="50"/>
      </w:pPr>
      <w:r>
        <w:t>Potentially reduces rework if false-positive rates remain controlled.</w:t>
      </w:r>
    </w:p>
    <w:p>
      <w:pPr>
        <w:pStyle w:val="Heading2"/>
      </w:pPr>
      <w:r>
        <w:t>10.2 Material ethical concerns</w:t>
      </w:r>
    </w:p>
    <w:p>
      <w:pPr>
        <w:pStyle w:val="ListBullet"/>
        <w:spacing w:after="50"/>
      </w:pPr>
      <w:r>
        <w:t>False negatives can allow defects to progress and can create physical/product harm if human inspection becomes complacent.</w:t>
      </w:r>
    </w:p>
    <w:p>
      <w:pPr>
        <w:pStyle w:val="ListBullet"/>
        <w:spacing w:after="50"/>
      </w:pPr>
      <w:r>
        <w:t>False positives can increase scrap and rework, creating environmental and workforce burdens.</w:t>
      </w:r>
    </w:p>
    <w:p>
      <w:pPr>
        <w:pStyle w:val="ListBullet"/>
        <w:spacing w:after="50"/>
      </w:pPr>
      <w:r>
        <w:t>Inspectors can experience automation bias, alert fatigue or deskilling if the system becomes the de facto authority.</w:t>
      </w:r>
    </w:p>
    <w:p>
      <w:pPr>
        <w:pStyle w:val="ListBullet"/>
        <w:spacing w:after="50"/>
      </w:pPr>
      <w:r>
        <w:t>Production imagery could be repurposed for worker monitoring, creating a new privacy/workplace power issue.</w:t>
      </w:r>
    </w:p>
    <w:p>
      <w:pPr>
        <w:pStyle w:val="Heading2"/>
      </w:pPr>
      <w:r>
        <w:t>10.3 Ethical tensions / trade-offs</w:t>
      </w:r>
    </w:p>
    <w:p>
      <w:pPr>
        <w:pStyle w:val="ListBullet"/>
        <w:spacing w:after="50"/>
      </w:pPr>
      <w:r>
        <w:t>Consistency through automation versus maintaining human vigilance and expertise.</w:t>
      </w:r>
    </w:p>
    <w:p>
      <w:pPr>
        <w:pStyle w:val="ListBullet"/>
        <w:spacing w:after="50"/>
      </w:pPr>
      <w:r>
        <w:t>Higher detection sensitivity versus waste and alert burden from false positives.</w:t>
      </w:r>
    </w:p>
    <w:p>
      <w:pPr>
        <w:pStyle w:val="ListBullet"/>
        <w:spacing w:after="50"/>
      </w:pPr>
      <w:r>
        <w:t>Quality analytics versus inappropriate surveillance of workers.</w:t>
      </w:r>
    </w:p>
    <w:p>
      <w:pPr>
        <w:pStyle w:val="Heading2"/>
      </w:pPr>
      <w:r>
        <w:t>10.4 Required safeguards and evidence</w:t>
      </w:r>
    </w:p>
    <w:p>
      <w:pPr>
        <w:spacing w:after="40"/>
      </w:pPr>
      <w:r>
        <w:t>☐ Qualified human inspector retains final pass/fail authority.</w:t>
      </w:r>
    </w:p>
    <w:p>
      <w:pPr>
        <w:spacing w:after="40"/>
      </w:pPr>
      <w:r>
        <w:t>☐ No deployment to safety-critical lines without a separate safety case and reassessment.</w:t>
      </w:r>
    </w:p>
    <w:p>
      <w:pPr>
        <w:spacing w:after="40"/>
      </w:pPr>
      <w:r>
        <w:t>☐ Performance is validated by defect class, product line and operating conditions.</w:t>
      </w:r>
    </w:p>
    <w:p>
      <w:pPr>
        <w:spacing w:after="40"/>
      </w:pPr>
      <w:r>
        <w:t>☐ Worker imagery is not repurposed for performance/disciplinary monitoring without a new approved assessment.</w:t>
      </w:r>
    </w:p>
    <w:p>
      <w:pPr>
        <w:spacing w:after="40"/>
      </w:pPr>
      <w:r>
        <w:t>☐ Inspectors receive training on limitations, override and escalation.</w:t>
      </w:r>
    </w:p>
    <w:p>
      <w:pPr>
        <w:spacing w:after="40"/>
      </w:pPr>
      <w:r>
        <w:t>☐ Defect escape, false-positive/negative and override patterns are monitored.</w:t>
      </w:r>
    </w:p>
    <w:p>
      <w:pPr>
        <w:pStyle w:val="Heading2"/>
      </w:pPr>
      <w:r>
        <w:t>10.5 Ethical monitoring indicators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vAlign w:val="center"/>
            <w:tcMar>
              <w:top w:w="70" w:type="dxa"/>
              <w:start w:w="85" w:type="dxa"/>
              <w:bottom w:w="70" w:type="dxa"/>
              <w:end w:w="85" w:type="dxa"/>
            </w:tcMar>
            <w:shd w:fill="173B57"/>
          </w:tcPr>
          <w:p>
            <w:pPr>
              <w:spacing w:before="0" w:after="0"/>
            </w:pPr>
            <w:r/>
            <w:r>
              <w:rPr>
                <w:rFonts w:ascii="Aptos" w:hAnsi="Aptos"/>
                <w:b/>
                <w:color w:val="FFFFFF"/>
                <w:sz w:val="15"/>
              </w:rPr>
              <w:t>Indicator</w:t>
            </w:r>
          </w:p>
        </w:tc>
        <w:tc>
          <w:tcPr>
            <w:tcW w:type="dxa" w:w="5616"/>
            <w:vAlign w:val="center"/>
            <w:tcMar>
              <w:top w:w="70" w:type="dxa"/>
              <w:start w:w="85" w:type="dxa"/>
              <w:bottom w:w="70" w:type="dxa"/>
              <w:end w:w="85" w:type="dxa"/>
            </w:tcMar>
            <w:shd w:fill="173B57"/>
          </w:tcPr>
          <w:p>
            <w:pPr>
              <w:spacing w:before="0" w:after="0"/>
            </w:pPr>
            <w:r/>
            <w:r>
              <w:rPr>
                <w:rFonts w:ascii="Aptos" w:hAnsi="Aptos"/>
                <w:b/>
                <w:color w:val="FFFFFF"/>
                <w:sz w:val="15"/>
              </w:rPr>
              <w:t>Why it matters</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False-negative / defect escape rate</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Primary product-safety ethical indicator.</w:t>
            </w:r>
          </w:p>
        </w:tc>
      </w:tr>
      <w:tr>
        <w:tc>
          <w:tcPr>
            <w:tcW w:type="dxa" w:w="3744"/>
            <w:vAlign w:val="center"/>
            <w:tcMar>
              <w:top w:w="70" w:type="dxa"/>
              <w:start w:w="85" w:type="dxa"/>
              <w:bottom w:w="70" w:type="dxa"/>
              <w:end w:w="85" w:type="dxa"/>
            </w:tcMar>
            <w:shd w:fill="F4F6F7"/>
          </w:tcPr>
          <w:p>
            <w:pPr>
              <w:spacing w:before="0" w:after="0"/>
            </w:pPr>
            <w:r/>
            <w:r>
              <w:rPr>
                <w:rFonts w:ascii="Aptos" w:hAnsi="Aptos"/>
                <w:b w:val="0"/>
                <w:color w:val="27343E"/>
                <w:sz w:val="15"/>
              </w:rPr>
              <w:t>False-positive / scrap rate</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Captures unnecessary waste and burden.</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Inspector override and disagreement rate</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Shows whether human authority remains active.</w:t>
            </w:r>
          </w:p>
        </w:tc>
      </w:tr>
      <w:tr>
        <w:tc>
          <w:tcPr>
            <w:tcW w:type="dxa" w:w="3744"/>
            <w:vAlign w:val="center"/>
            <w:tcMar>
              <w:top w:w="70" w:type="dxa"/>
              <w:start w:w="85" w:type="dxa"/>
              <w:bottom w:w="70" w:type="dxa"/>
              <w:end w:w="85" w:type="dxa"/>
            </w:tcMar>
            <w:shd w:fill="F4F6F7"/>
          </w:tcPr>
          <w:p>
            <w:pPr>
              <w:spacing w:before="0" w:after="0"/>
            </w:pPr>
            <w:r/>
            <w:r>
              <w:rPr>
                <w:rFonts w:ascii="Aptos" w:hAnsi="Aptos"/>
                <w:b w:val="0"/>
                <w:color w:val="27343E"/>
                <w:sz w:val="15"/>
              </w:rPr>
              <w:t>Alert fatigue / workload signal</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Detects human-factors degradation.</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Use-of-imagery exceptions</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Identifies scope creep toward worker monitoring.</w:t>
            </w:r>
          </w:p>
        </w:tc>
      </w:tr>
    </w:tbl>
    <w:p>
      <w:pPr>
        <w:spacing w:after="0"/>
      </w:pPr>
    </w:p>
    <w:p>
      <w:pPr>
        <w:pStyle w:val="Heading2"/>
      </w:pPr>
      <w:r>
        <w:t>10.6 Reassessment triggers</w:t>
      </w:r>
    </w:p>
    <w:p>
      <w:pPr>
        <w:pStyle w:val="ListBullet"/>
        <w:spacing w:after="50"/>
      </w:pPr>
      <w:r>
        <w:t>Removal of mandatory human inspection.</w:t>
      </w:r>
    </w:p>
    <w:p>
      <w:pPr>
        <w:pStyle w:val="ListBullet"/>
        <w:spacing w:after="50"/>
      </w:pPr>
      <w:r>
        <w:t>Use on new product line/camera without validation.</w:t>
      </w:r>
    </w:p>
    <w:p>
      <w:pPr>
        <w:pStyle w:val="ListBullet"/>
        <w:spacing w:after="50"/>
      </w:pPr>
      <w:r>
        <w:t>Expansion to safety-critical components.</w:t>
      </w:r>
    </w:p>
    <w:p>
      <w:pPr>
        <w:pStyle w:val="ListBullet"/>
        <w:spacing w:after="50"/>
      </w:pPr>
      <w:r>
        <w:t>Reuse of imagery for workforce monitoring.</w:t>
      </w:r>
    </w:p>
    <w:p>
      <w:pPr>
        <w:pStyle w:val="ListBullet"/>
        <w:spacing w:after="50"/>
      </w:pPr>
      <w:r>
        <w:t>Significant model degradation or quality incident.</w:t>
      </w:r>
    </w:p>
    <w:p>
      <w:pPr>
        <w:pStyle w:val="Heading1"/>
      </w:pPr>
      <w:r>
        <w:t>11. AI-005 — DuckTalent AI</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tcMar>
              <w:top w:w="70" w:type="dxa"/>
              <w:start w:w="85" w:type="dxa"/>
              <w:bottom w:w="70" w:type="dxa"/>
              <w:end w:w="85" w:type="dxa"/>
            </w:tcMar>
            <w:shd w:fill="173B57"/>
          </w:tcPr>
          <w:p>
            <w:pPr>
              <w:spacing w:before="0" w:after="0"/>
            </w:pPr>
            <w:r/>
            <w:r>
              <w:rPr>
                <w:rFonts w:ascii="Aptos" w:hAnsi="Aptos"/>
                <w:b/>
                <w:color w:val="FFFFFF"/>
                <w:sz w:val="16"/>
              </w:rPr>
              <w:t>Field</w:t>
            </w:r>
          </w:p>
        </w:tc>
        <w:tc>
          <w:tcPr>
            <w:tcW w:type="dxa" w:w="6768"/>
            <w:vAlign w:val="center"/>
            <w:tcMar>
              <w:top w:w="70" w:type="dxa"/>
              <w:start w:w="85" w:type="dxa"/>
              <w:bottom w:w="70" w:type="dxa"/>
              <w:end w:w="85" w:type="dxa"/>
            </w:tcMar>
            <w:shd w:fill="173B57"/>
          </w:tcPr>
          <w:p>
            <w:pPr>
              <w:spacing w:before="0" w:after="0"/>
            </w:pPr>
            <w:r/>
            <w:r>
              <w:rPr>
                <w:rFonts w:ascii="Aptos" w:hAnsi="Aptos"/>
                <w:b/>
                <w:color w:val="FFFFFF"/>
                <w:sz w:val="16"/>
              </w:rPr>
              <w:t>Assessment</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6"/>
              </w:rPr>
              <w:t>Business owner</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6"/>
              </w:rPr>
              <w:t>Beatrice Van Duck — Chief People Officer</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6"/>
              </w:rPr>
              <w:t>Ethical priority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6"/>
              </w:rPr>
              <w:t>E4 — Severe</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6"/>
              </w:rPr>
              <w:t>Current governance decision</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6"/>
              </w:rPr>
              <w:t>Do not deploy</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6"/>
              </w:rPr>
              <w:t>Assessment boundary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6"/>
              </w:rPr>
              <w:t>Current stated intended purpose and described controls only; material purpose, model, data, user, autonomy or vendor changes require reassessment.</w:t>
            </w:r>
          </w:p>
        </w:tc>
      </w:tr>
    </w:tbl>
    <w:p>
      <w:pPr>
        <w:spacing w:after="0"/>
      </w:pPr>
    </w:p>
    <w:p>
      <w:pPr>
        <w:pStyle w:val="Heading2"/>
      </w:pPr>
      <w:r>
        <w:t>11.1 Positive ethical value</w:t>
      </w:r>
    </w:p>
    <w:p>
      <w:pPr>
        <w:pStyle w:val="ListBullet"/>
        <w:spacing w:after="50"/>
      </w:pPr>
      <w:r>
        <w:t>Could reduce administrative CV triage and make review criteria more structured if job relevance and fairness are demonstrably controlled.</w:t>
      </w:r>
    </w:p>
    <w:p>
      <w:pPr>
        <w:pStyle w:val="ListBullet"/>
        <w:spacing w:after="50"/>
      </w:pPr>
      <w:r>
        <w:t>Could free recruiter time for substantive human review and candidate interaction.</w:t>
      </w:r>
    </w:p>
    <w:p>
      <w:pPr>
        <w:pStyle w:val="ListBullet"/>
        <w:spacing w:after="50"/>
      </w:pPr>
      <w:r>
        <w:t>May improve consistency only if the criteria, data and operating process are demonstrably fair and accessible.</w:t>
      </w:r>
    </w:p>
    <w:p>
      <w:pPr>
        <w:pStyle w:val="Heading2"/>
      </w:pPr>
      <w:r>
        <w:t>11.2 Material ethical concerns</w:t>
      </w:r>
    </w:p>
    <w:p>
      <w:pPr>
        <w:pStyle w:val="ListBullet"/>
        <w:spacing w:after="50"/>
      </w:pPr>
      <w:r>
        <w:t>Ranking directly affects access to employment and operates in a strong power asymmetry between Duckworks and applicants.</w:t>
      </w:r>
    </w:p>
    <w:p>
      <w:pPr>
        <w:pStyle w:val="ListBullet"/>
        <w:spacing w:after="50"/>
      </w:pPr>
      <w:r>
        <w:t>Historical or proxy features can reproduce or amplify discrimination at scale.</w:t>
      </w:r>
    </w:p>
    <w:p>
      <w:pPr>
        <w:pStyle w:val="ListBullet"/>
        <w:spacing w:after="50"/>
      </w:pPr>
      <w:r>
        <w:t>Inaccurate parsing or ranking can deprive candidates of opportunity before a meaningful human assessment occurs.</w:t>
      </w:r>
    </w:p>
    <w:p>
      <w:pPr>
        <w:pStyle w:val="ListBullet"/>
        <w:spacing w:after="50"/>
      </w:pPr>
      <w:r>
        <w:t>Opaque rankings can undermine dignity and procedural fairness when candidates cannot understand or challenge materially adverse treatment.</w:t>
      </w:r>
    </w:p>
    <w:p>
      <w:pPr>
        <w:pStyle w:val="ListBullet"/>
        <w:spacing w:after="50"/>
      </w:pPr>
      <w:r>
        <w:t>Recruiters may defer to ranks/summaries, making nominal human review ineffective.</w:t>
      </w:r>
    </w:p>
    <w:p>
      <w:pPr>
        <w:pStyle w:val="ListBullet"/>
        <w:spacing w:after="50"/>
      </w:pPr>
      <w:r>
        <w:t>Applicant data can expose or enable inference of sensitive/protected characteristics and unrelated personal information.</w:t>
      </w:r>
    </w:p>
    <w:p>
      <w:pPr>
        <w:pStyle w:val="ListBullet"/>
        <w:spacing w:after="50"/>
      </w:pPr>
      <w:r>
        <w:t>Accessibility failures may disadvantage candidates with non-standard CVs, disabilities, language differences or career histories.</w:t>
      </w:r>
    </w:p>
    <w:p>
      <w:pPr>
        <w:pStyle w:val="Heading2"/>
      </w:pPr>
      <w:r>
        <w:t>11.3 Ethical tensions / trade-offs</w:t>
      </w:r>
    </w:p>
    <w:p>
      <w:pPr>
        <w:pStyle w:val="ListBullet"/>
        <w:spacing w:after="50"/>
      </w:pPr>
      <w:r>
        <w:t>Efficiency and standardization versus individualized, contextual and humane assessment.</w:t>
      </w:r>
    </w:p>
    <w:p>
      <w:pPr>
        <w:pStyle w:val="ListBullet"/>
        <w:spacing w:after="50"/>
      </w:pPr>
      <w:r>
        <w:t>Consistency versus entrenching a flawed criterion consistently across every applicant.</w:t>
      </w:r>
    </w:p>
    <w:p>
      <w:pPr>
        <w:pStyle w:val="ListBullet"/>
        <w:spacing w:after="50"/>
      </w:pPr>
      <w:r>
        <w:t>Data-rich prediction versus privacy, dignity and strict job relevance.</w:t>
      </w:r>
    </w:p>
    <w:p>
      <w:pPr>
        <w:pStyle w:val="ListBullet"/>
        <w:spacing w:after="50"/>
      </w:pPr>
      <w:r>
        <w:t>Recruiter support versus the risk that ranking becomes a de facto automated gate.</w:t>
      </w:r>
    </w:p>
    <w:p>
      <w:pPr>
        <w:pStyle w:val="Heading2"/>
      </w:pPr>
      <w:r>
        <w:t>11.4 Required safeguards and evidence</w:t>
      </w:r>
    </w:p>
    <w:p>
      <w:pPr>
        <w:spacing w:after="40"/>
      </w:pPr>
      <w:r>
        <w:t>☐ No automated rejection or hiring; consequential decisions require documented, reasoned human review.</w:t>
      </w:r>
    </w:p>
    <w:p>
      <w:pPr>
        <w:spacing w:after="40"/>
      </w:pPr>
      <w:r>
        <w:t>☐ Job-relevant criteria and prohibited/proxy features are defined and independently challenged before vendor/model selection.</w:t>
      </w:r>
    </w:p>
    <w:p>
      <w:pPr>
        <w:spacing w:after="40"/>
      </w:pPr>
      <w:r>
        <w:t>☐ Fairness/proxy testing methodology and evidence are completed using lawful data and representative populations.</w:t>
      </w:r>
    </w:p>
    <w:p>
      <w:pPr>
        <w:spacing w:after="40"/>
      </w:pPr>
      <w:r>
        <w:t>☐ Parsing/ranking accuracy and error distribution are validated, including accessibility/non-standard applicant cases.</w:t>
      </w:r>
    </w:p>
    <w:p>
      <w:pPr>
        <w:spacing w:after="40"/>
      </w:pPr>
      <w:r>
        <w:t>☐ Candidate notice, accessible challenge/reconsideration route and meaningful remedy are implemented.</w:t>
      </w:r>
    </w:p>
    <w:p>
      <w:pPr>
        <w:spacing w:after="40"/>
      </w:pPr>
      <w:r>
        <w:t>☐ Privacy/DPIA, vendor/DPA, retention, security and data-minimization evidence are complete.</w:t>
      </w:r>
    </w:p>
    <w:p>
      <w:pPr>
        <w:spacing w:after="40"/>
      </w:pPr>
      <w:r>
        <w:t>☐ Recruiter training addresses automation bias, explanation limits and responsibility.</w:t>
      </w:r>
    </w:p>
    <w:p>
      <w:pPr>
        <w:spacing w:after="40"/>
      </w:pPr>
      <w:r>
        <w:t>☐ Monitoring includes subgroup outcomes, overrides, challenges, ranking errors and adverse incidents.</w:t>
      </w:r>
    </w:p>
    <w:p>
      <w:pPr>
        <w:pStyle w:val="Heading2"/>
      </w:pPr>
      <w:r>
        <w:t>11.5 Ethical monitoring indicators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vAlign w:val="center"/>
            <w:tcMar>
              <w:top w:w="70" w:type="dxa"/>
              <w:start w:w="85" w:type="dxa"/>
              <w:bottom w:w="70" w:type="dxa"/>
              <w:end w:w="85" w:type="dxa"/>
            </w:tcMar>
            <w:shd w:fill="173B57"/>
          </w:tcPr>
          <w:p>
            <w:pPr>
              <w:spacing w:before="0" w:after="0"/>
            </w:pPr>
            <w:r/>
            <w:r>
              <w:rPr>
                <w:rFonts w:ascii="Aptos" w:hAnsi="Aptos"/>
                <w:b/>
                <w:color w:val="FFFFFF"/>
                <w:sz w:val="15"/>
              </w:rPr>
              <w:t>Indicator</w:t>
            </w:r>
          </w:p>
        </w:tc>
        <w:tc>
          <w:tcPr>
            <w:tcW w:type="dxa" w:w="5616"/>
            <w:vAlign w:val="center"/>
            <w:tcMar>
              <w:top w:w="70" w:type="dxa"/>
              <w:start w:w="85" w:type="dxa"/>
              <w:bottom w:w="70" w:type="dxa"/>
              <w:end w:w="85" w:type="dxa"/>
            </w:tcMar>
            <w:shd w:fill="173B57"/>
          </w:tcPr>
          <w:p>
            <w:pPr>
              <w:spacing w:before="0" w:after="0"/>
            </w:pPr>
            <w:r/>
            <w:r>
              <w:rPr>
                <w:rFonts w:ascii="Aptos" w:hAnsi="Aptos"/>
                <w:b/>
                <w:color w:val="FFFFFF"/>
                <w:sz w:val="15"/>
              </w:rPr>
              <w:t>Why it matters</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Selection-rate / outcome differences</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Can reveal disparate effects requiring investigation; interpretation needs lawful context and statistical expertise.</w:t>
            </w:r>
          </w:p>
        </w:tc>
      </w:tr>
      <w:tr>
        <w:tc>
          <w:tcPr>
            <w:tcW w:type="dxa" w:w="3744"/>
            <w:vAlign w:val="center"/>
            <w:tcMar>
              <w:top w:w="70" w:type="dxa"/>
              <w:start w:w="85" w:type="dxa"/>
              <w:bottom w:w="70" w:type="dxa"/>
              <w:end w:w="85" w:type="dxa"/>
            </w:tcMar>
            <w:shd w:fill="F4F6F7"/>
          </w:tcPr>
          <w:p>
            <w:pPr>
              <w:spacing w:before="0" w:after="0"/>
            </w:pPr>
            <w:r/>
            <w:r>
              <w:rPr>
                <w:rFonts w:ascii="Aptos" w:hAnsi="Aptos"/>
                <w:b w:val="0"/>
                <w:color w:val="27343E"/>
                <w:sz w:val="15"/>
              </w:rPr>
              <w:t>Parsing/ranking error by applicant type</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Detects systematic disadvantage from format, language or non-standard career histories.</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Recruiter override rate and rationale</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Tests whether human review is meaningful rather than ceremonial.</w:t>
            </w:r>
          </w:p>
        </w:tc>
      </w:tr>
      <w:tr>
        <w:tc>
          <w:tcPr>
            <w:tcW w:type="dxa" w:w="3744"/>
            <w:vAlign w:val="center"/>
            <w:tcMar>
              <w:top w:w="70" w:type="dxa"/>
              <w:start w:w="85" w:type="dxa"/>
              <w:bottom w:w="70" w:type="dxa"/>
              <w:end w:w="85" w:type="dxa"/>
            </w:tcMar>
            <w:shd w:fill="F4F6F7"/>
          </w:tcPr>
          <w:p>
            <w:pPr>
              <w:spacing w:before="0" w:after="0"/>
            </w:pPr>
            <w:r/>
            <w:r>
              <w:rPr>
                <w:rFonts w:ascii="Aptos" w:hAnsi="Aptos"/>
                <w:b w:val="0"/>
                <w:color w:val="27343E"/>
                <w:sz w:val="15"/>
              </w:rPr>
              <w:t>Candidate challenge / reconsideration outcomes</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Measures contestability and whether remedy changes decisions.</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Accessibility failure / accommodation signal</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Identifies exclusion caused by process design.</w:t>
            </w:r>
          </w:p>
        </w:tc>
      </w:tr>
      <w:tr>
        <w:tc>
          <w:tcPr>
            <w:tcW w:type="dxa" w:w="3744"/>
            <w:vAlign w:val="center"/>
            <w:tcMar>
              <w:top w:w="70" w:type="dxa"/>
              <w:start w:w="85" w:type="dxa"/>
              <w:bottom w:w="70" w:type="dxa"/>
              <w:end w:w="85" w:type="dxa"/>
            </w:tcMar>
            <w:shd w:fill="F4F6F7"/>
          </w:tcPr>
          <w:p>
            <w:pPr>
              <w:spacing w:before="0" w:after="0"/>
            </w:pPr>
            <w:r/>
            <w:r>
              <w:rPr>
                <w:rFonts w:ascii="Aptos" w:hAnsi="Aptos"/>
                <w:b w:val="0"/>
                <w:color w:val="27343E"/>
                <w:sz w:val="15"/>
              </w:rPr>
              <w:t>Use of prohibited/proxy features</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Any confirmed use is a blocking governance issue.</w:t>
            </w:r>
          </w:p>
        </w:tc>
      </w:tr>
    </w:tbl>
    <w:p>
      <w:pPr>
        <w:spacing w:after="0"/>
      </w:pPr>
    </w:p>
    <w:p>
      <w:pPr>
        <w:pStyle w:val="Heading2"/>
      </w:pPr>
      <w:r>
        <w:t>11.6 Reassessment triggers</w:t>
      </w:r>
    </w:p>
    <w:p>
      <w:pPr>
        <w:pStyle w:val="ListBullet"/>
        <w:spacing w:after="50"/>
      </w:pPr>
      <w:r>
        <w:t>Any real-applicant pilot or procurement commitment.</w:t>
      </w:r>
    </w:p>
    <w:p>
      <w:pPr>
        <w:pStyle w:val="ListBullet"/>
        <w:spacing w:after="50"/>
      </w:pPr>
      <w:r>
        <w:t>Change to ranking criteria, features, model/provider or intended employment use.</w:t>
      </w:r>
    </w:p>
    <w:p>
      <w:pPr>
        <w:pStyle w:val="ListBullet"/>
        <w:spacing w:after="50"/>
      </w:pPr>
      <w:r>
        <w:t>Expansion to internal mobility, performance management or termination decisions.</w:t>
      </w:r>
    </w:p>
    <w:p>
      <w:pPr>
        <w:pStyle w:val="ListBullet"/>
        <w:spacing w:after="50"/>
      </w:pPr>
      <w:r>
        <w:t>Material fairness, accessibility or privacy concern.</w:t>
      </w:r>
    </w:p>
    <w:p>
      <w:pPr>
        <w:pStyle w:val="ListBullet"/>
        <w:spacing w:after="50"/>
      </w:pPr>
      <w:r>
        <w:t>Removal/weakening of human review or challenge route.</w:t>
      </w:r>
    </w:p>
    <w:p>
      <w:r>
        <w:br w:type="page"/>
      </w:r>
    </w:p>
    <w:p>
      <w:pPr>
        <w:pStyle w:val="Heading1"/>
      </w:pPr>
      <w:r>
        <w:t>12. AI-006 — PondGPT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tcMar>
              <w:top w:w="70" w:type="dxa"/>
              <w:start w:w="85" w:type="dxa"/>
              <w:bottom w:w="70" w:type="dxa"/>
              <w:end w:w="85" w:type="dxa"/>
            </w:tcMar>
            <w:shd w:fill="173B57"/>
          </w:tcPr>
          <w:p>
            <w:pPr>
              <w:spacing w:before="0" w:after="0"/>
            </w:pPr>
            <w:r/>
            <w:r>
              <w:rPr>
                <w:rFonts w:ascii="Aptos" w:hAnsi="Aptos"/>
                <w:b/>
                <w:color w:val="FFFFFF"/>
                <w:sz w:val="16"/>
              </w:rPr>
              <w:t>Field</w:t>
            </w:r>
          </w:p>
        </w:tc>
        <w:tc>
          <w:tcPr>
            <w:tcW w:type="dxa" w:w="6768"/>
            <w:vAlign w:val="center"/>
            <w:tcMar>
              <w:top w:w="70" w:type="dxa"/>
              <w:start w:w="85" w:type="dxa"/>
              <w:bottom w:w="70" w:type="dxa"/>
              <w:end w:w="85" w:type="dxa"/>
            </w:tcMar>
            <w:shd w:fill="173B57"/>
          </w:tcPr>
          <w:p>
            <w:pPr>
              <w:spacing w:before="0" w:after="0"/>
            </w:pPr>
            <w:r/>
            <w:r>
              <w:rPr>
                <w:rFonts w:ascii="Aptos" w:hAnsi="Aptos"/>
                <w:b/>
                <w:color w:val="FFFFFF"/>
                <w:sz w:val="16"/>
              </w:rPr>
              <w:t>Assessment</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6"/>
              </w:rPr>
              <w:t>Business owner</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6"/>
              </w:rPr>
              <w:t>Oliver Duckett — Head of IT &amp; Cloud</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6"/>
              </w:rPr>
              <w:t>Ethical priority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6"/>
              </w:rPr>
              <w:t>E3 — Significant</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6"/>
              </w:rPr>
              <w:t>Current governance decision</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6"/>
              </w:rPr>
              <w:t>Restricted pilot; sensitive repositories excluded</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6"/>
              </w:rPr>
              <w:t>Assessment boundary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6"/>
              </w:rPr>
              <w:t>Current stated intended purpose and described controls only; material purpose, model, data, user, autonomy or vendor changes require reassessment.</w:t>
            </w:r>
          </w:p>
        </w:tc>
      </w:tr>
    </w:tbl>
    <w:p>
      <w:pPr>
        <w:spacing w:after="0"/>
      </w:pPr>
    </w:p>
    <w:p>
      <w:pPr>
        <w:pStyle w:val="Heading2"/>
      </w:pPr>
      <w:r>
        <w:t>12.1 Positive ethical value</w:t>
      </w:r>
    </w:p>
    <w:p>
      <w:pPr>
        <w:pStyle w:val="ListBullet"/>
        <w:spacing w:after="50"/>
      </w:pPr>
      <w:r>
        <w:t>Can reduce repetitive drafting, search and summarization work and improve access to institutional knowledge.</w:t>
      </w:r>
    </w:p>
    <w:p>
      <w:pPr>
        <w:pStyle w:val="ListBullet"/>
        <w:spacing w:after="50"/>
      </w:pPr>
      <w:r>
        <w:t>May support accessibility and language assistance for employees.</w:t>
      </w:r>
    </w:p>
    <w:p>
      <w:pPr>
        <w:pStyle w:val="ListBullet"/>
        <w:spacing w:after="50"/>
      </w:pPr>
      <w:r>
        <w:t>Can assist developers and operational staff when outputs remain advisory and reviewed.</w:t>
      </w:r>
    </w:p>
    <w:p>
      <w:pPr>
        <w:pStyle w:val="Heading2"/>
      </w:pPr>
      <w:r>
        <w:t>12.2 Material ethical concerns</w:t>
      </w:r>
    </w:p>
    <w:p>
      <w:pPr>
        <w:pStyle w:val="ListBullet"/>
        <w:spacing w:after="50"/>
      </w:pPr>
      <w:r>
        <w:t>Broad enterprise access can create privacy/confidentiality harm if retrieval permissions fail or sensitive sources are connected.</w:t>
      </w:r>
    </w:p>
    <w:p>
      <w:pPr>
        <w:pStyle w:val="ListBullet"/>
        <w:spacing w:after="50"/>
      </w:pPr>
      <w:r>
        <w:t>Employees may feel monitored if prompts, conversations or usage analytics are repurposed for performance scoring.</w:t>
      </w:r>
    </w:p>
    <w:p>
      <w:pPr>
        <w:pStyle w:val="ListBullet"/>
        <w:spacing w:after="50"/>
      </w:pPr>
      <w:r>
        <w:t>Inaccurate answers or generated code can cause downstream harm when staff over-rely on fluent output.</w:t>
      </w:r>
    </w:p>
    <w:p>
      <w:pPr>
        <w:pStyle w:val="ListBullet"/>
        <w:spacing w:after="50"/>
      </w:pPr>
      <w:r>
        <w:t>Persistent reliance can deskill employees or shift accountability away from competent professionals.</w:t>
      </w:r>
    </w:p>
    <w:p>
      <w:pPr>
        <w:pStyle w:val="ListBullet"/>
        <w:spacing w:after="50"/>
      </w:pPr>
      <w:r>
        <w:t>Access to AI may benefit some functions more than others, creating uneven workload or capability effects.</w:t>
      </w:r>
    </w:p>
    <w:p>
      <w:pPr>
        <w:pStyle w:val="ListBullet"/>
        <w:spacing w:after="50"/>
      </w:pPr>
      <w:r>
        <w:t>Agentic/tool capabilities could materially change employee autonomy and organizational power if added without reassessment.</w:t>
      </w:r>
    </w:p>
    <w:p>
      <w:pPr>
        <w:pStyle w:val="Heading2"/>
      </w:pPr>
      <w:r>
        <w:t>12.3 Ethical tensions / trade-offs</w:t>
      </w:r>
    </w:p>
    <w:p>
      <w:pPr>
        <w:pStyle w:val="ListBullet"/>
        <w:spacing w:after="50"/>
      </w:pPr>
      <w:r>
        <w:t>Productivity measurement versus privacy and freedom from covert performance surveillance.</w:t>
      </w:r>
    </w:p>
    <w:p>
      <w:pPr>
        <w:pStyle w:val="ListBullet"/>
        <w:spacing w:after="50"/>
      </w:pPr>
      <w:r>
        <w:t>Centralized enterprise knowledge access versus contextual integrity and least privilege.</w:t>
      </w:r>
    </w:p>
    <w:p>
      <w:pPr>
        <w:pStyle w:val="ListBullet"/>
        <w:spacing w:after="50"/>
      </w:pPr>
      <w:r>
        <w:t>Convenient generated answers versus maintaining professional competence and verification habits.</w:t>
      </w:r>
    </w:p>
    <w:p>
      <w:pPr>
        <w:pStyle w:val="Heading2"/>
      </w:pPr>
      <w:r>
        <w:t>12.4 Required safeguards and evidence</w:t>
      </w:r>
    </w:p>
    <w:p>
      <w:pPr>
        <w:spacing w:after="40"/>
      </w:pPr>
      <w:r>
        <w:t>☐ Permission-aware retrieval inherits source-system authorization and is regression-tested.</w:t>
      </w:r>
    </w:p>
    <w:p>
      <w:pPr>
        <w:spacing w:after="40"/>
      </w:pPr>
      <w:r>
        <w:t>☐ Sensitive HR/legal/security repositories remain excluded until specifically assessed and approved.</w:t>
      </w:r>
    </w:p>
    <w:p>
      <w:pPr>
        <w:spacing w:after="40"/>
      </w:pPr>
      <w:r>
        <w:t>☐ Purpose limitation prohibits covert employee performance scoring from prompt/usage data.</w:t>
      </w:r>
    </w:p>
    <w:p>
      <w:pPr>
        <w:spacing w:after="40"/>
      </w:pPr>
      <w:r>
        <w:t>☐ Generated code and consequential professional advice require human review and relevant security/quality checks.</w:t>
      </w:r>
    </w:p>
    <w:p>
      <w:pPr>
        <w:spacing w:after="40"/>
      </w:pPr>
      <w:r>
        <w:t>☐ Prompt injection, poisoned retrieval and excessive-permission scenarios are tested.</w:t>
      </w:r>
    </w:p>
    <w:p>
      <w:pPr>
        <w:spacing w:after="40"/>
      </w:pPr>
      <w:r>
        <w:t>☐ Employees receive clear usage, privacy, logging and limitation information.</w:t>
      </w:r>
    </w:p>
    <w:p>
      <w:pPr>
        <w:spacing w:after="40"/>
      </w:pPr>
      <w:r>
        <w:t>☐ Any agentic/action capability is treated as a material change requiring new assessment.</w:t>
      </w:r>
    </w:p>
    <w:p>
      <w:pPr>
        <w:pStyle w:val="Heading2"/>
      </w:pPr>
      <w:r>
        <w:t>12.5 Ethical monitoring indicators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vAlign w:val="center"/>
            <w:tcMar>
              <w:top w:w="70" w:type="dxa"/>
              <w:start w:w="85" w:type="dxa"/>
              <w:bottom w:w="70" w:type="dxa"/>
              <w:end w:w="85" w:type="dxa"/>
            </w:tcMar>
            <w:shd w:fill="173B57"/>
          </w:tcPr>
          <w:p>
            <w:pPr>
              <w:spacing w:before="0" w:after="0"/>
            </w:pPr>
            <w:r/>
            <w:r>
              <w:rPr>
                <w:rFonts w:ascii="Aptos" w:hAnsi="Aptos"/>
                <w:b/>
                <w:color w:val="FFFFFF"/>
                <w:sz w:val="15"/>
              </w:rPr>
              <w:t>Indicator</w:t>
            </w:r>
          </w:p>
        </w:tc>
        <w:tc>
          <w:tcPr>
            <w:tcW w:type="dxa" w:w="5616"/>
            <w:vAlign w:val="center"/>
            <w:tcMar>
              <w:top w:w="70" w:type="dxa"/>
              <w:start w:w="85" w:type="dxa"/>
              <w:bottom w:w="70" w:type="dxa"/>
              <w:end w:w="85" w:type="dxa"/>
            </w:tcMar>
            <w:shd w:fill="173B57"/>
          </w:tcPr>
          <w:p>
            <w:pPr>
              <w:spacing w:before="0" w:after="0"/>
            </w:pPr>
            <w:r/>
            <w:r>
              <w:rPr>
                <w:rFonts w:ascii="Aptos" w:hAnsi="Aptos"/>
                <w:b/>
                <w:color w:val="FFFFFF"/>
                <w:sz w:val="15"/>
              </w:rPr>
              <w:t>Why it matters</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Unauthorized retrieval test failure</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Direct ethical and security indicator of cross-user data exposure.</w:t>
            </w:r>
          </w:p>
        </w:tc>
      </w:tr>
      <w:tr>
        <w:tc>
          <w:tcPr>
            <w:tcW w:type="dxa" w:w="3744"/>
            <w:vAlign w:val="center"/>
            <w:tcMar>
              <w:top w:w="70" w:type="dxa"/>
              <w:start w:w="85" w:type="dxa"/>
              <w:bottom w:w="70" w:type="dxa"/>
              <w:end w:w="85" w:type="dxa"/>
            </w:tcMar>
            <w:shd w:fill="F4F6F7"/>
          </w:tcPr>
          <w:p>
            <w:pPr>
              <w:spacing w:before="0" w:after="0"/>
            </w:pPr>
            <w:r/>
            <w:r>
              <w:rPr>
                <w:rFonts w:ascii="Aptos" w:hAnsi="Aptos"/>
                <w:b w:val="0"/>
                <w:color w:val="27343E"/>
                <w:sz w:val="15"/>
              </w:rPr>
              <w:t>DLP / restricted-data event</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Shows whether confidentiality boundaries are working.</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User complaint / reliance signal</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Captures harmful output, surveillance concern and usability issues.</w:t>
            </w:r>
          </w:p>
        </w:tc>
      </w:tr>
      <w:tr>
        <w:tc>
          <w:tcPr>
            <w:tcW w:type="dxa" w:w="3744"/>
            <w:vAlign w:val="center"/>
            <w:tcMar>
              <w:top w:w="70" w:type="dxa"/>
              <w:start w:w="85" w:type="dxa"/>
              <w:bottom w:w="70" w:type="dxa"/>
              <w:end w:w="85" w:type="dxa"/>
            </w:tcMar>
            <w:shd w:fill="F4F6F7"/>
          </w:tcPr>
          <w:p>
            <w:pPr>
              <w:spacing w:before="0" w:after="0"/>
            </w:pPr>
            <w:r/>
            <w:r>
              <w:rPr>
                <w:rFonts w:ascii="Aptos" w:hAnsi="Aptos"/>
                <w:b w:val="0"/>
                <w:color w:val="27343E"/>
                <w:sz w:val="15"/>
              </w:rPr>
              <w:t>Generated-code security defect trend</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Measures downstream harm potential.</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Sensitive-repository connector count</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Tracks expansion of ethical exposure.</w:t>
            </w:r>
          </w:p>
        </w:tc>
      </w:tr>
      <w:tr>
        <w:tc>
          <w:tcPr>
            <w:tcW w:type="dxa" w:w="3744"/>
            <w:vAlign w:val="center"/>
            <w:tcMar>
              <w:top w:w="70" w:type="dxa"/>
              <w:start w:w="85" w:type="dxa"/>
              <w:bottom w:w="70" w:type="dxa"/>
              <w:end w:w="85" w:type="dxa"/>
            </w:tcMar>
            <w:shd w:fill="F4F6F7"/>
          </w:tcPr>
          <w:p>
            <w:pPr>
              <w:spacing w:before="0" w:after="0"/>
            </w:pPr>
            <w:r/>
            <w:r>
              <w:rPr>
                <w:rFonts w:ascii="Aptos" w:hAnsi="Aptos"/>
                <w:b w:val="0"/>
                <w:color w:val="27343E"/>
                <w:sz w:val="15"/>
              </w:rPr>
              <w:t>Usage analytics access / purpose exceptions</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Detects surveillance or purpose creep.</w:t>
            </w:r>
          </w:p>
        </w:tc>
      </w:tr>
    </w:tbl>
    <w:p>
      <w:pPr>
        <w:spacing w:after="0"/>
      </w:pPr>
    </w:p>
    <w:p>
      <w:pPr>
        <w:pStyle w:val="Heading2"/>
      </w:pPr>
      <w:r>
        <w:t>12.6 Reassessment triggers</w:t>
      </w:r>
    </w:p>
    <w:p>
      <w:pPr>
        <w:pStyle w:val="ListBullet"/>
        <w:spacing w:after="50"/>
      </w:pPr>
      <w:r>
        <w:t>Addition of HR/legal/security or other sensitive repositories.</w:t>
      </w:r>
    </w:p>
    <w:p>
      <w:pPr>
        <w:pStyle w:val="ListBullet"/>
        <w:spacing w:after="50"/>
      </w:pPr>
      <w:r>
        <w:t>Addition of agentic tools or external actions.</w:t>
      </w:r>
    </w:p>
    <w:p>
      <w:pPr>
        <w:pStyle w:val="ListBullet"/>
        <w:spacing w:after="50"/>
      </w:pPr>
      <w:r>
        <w:t>Use of usage data for performance evaluation.</w:t>
      </w:r>
    </w:p>
    <w:p>
      <w:pPr>
        <w:pStyle w:val="ListBullet"/>
        <w:spacing w:after="50"/>
      </w:pPr>
      <w:r>
        <w:t>New model/provider/connector with different data-use terms.</w:t>
      </w:r>
    </w:p>
    <w:p>
      <w:pPr>
        <w:pStyle w:val="ListBullet"/>
        <w:spacing w:after="50"/>
      </w:pPr>
      <w:r>
        <w:t>Material data leakage, harmful output or systemic reliance issue.</w:t>
      </w:r>
    </w:p>
    <w:p>
      <w:pPr>
        <w:pStyle w:val="Heading1"/>
      </w:pPr>
      <w:r>
        <w:t>13. AI-007 — Unregistered GenAI Usage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tcMar>
              <w:top w:w="70" w:type="dxa"/>
              <w:start w:w="85" w:type="dxa"/>
              <w:bottom w:w="70" w:type="dxa"/>
              <w:end w:w="85" w:type="dxa"/>
            </w:tcMar>
            <w:shd w:fill="173B57"/>
          </w:tcPr>
          <w:p>
            <w:pPr>
              <w:spacing w:before="0" w:after="0"/>
            </w:pPr>
            <w:r/>
            <w:r>
              <w:rPr>
                <w:rFonts w:ascii="Aptos" w:hAnsi="Aptos"/>
                <w:b/>
                <w:color w:val="FFFFFF"/>
                <w:sz w:val="16"/>
              </w:rPr>
              <w:t>Field</w:t>
            </w:r>
          </w:p>
        </w:tc>
        <w:tc>
          <w:tcPr>
            <w:tcW w:type="dxa" w:w="6768"/>
            <w:vAlign w:val="center"/>
            <w:tcMar>
              <w:top w:w="70" w:type="dxa"/>
              <w:start w:w="85" w:type="dxa"/>
              <w:bottom w:w="70" w:type="dxa"/>
              <w:end w:w="85" w:type="dxa"/>
            </w:tcMar>
            <w:shd w:fill="173B57"/>
          </w:tcPr>
          <w:p>
            <w:pPr>
              <w:spacing w:before="0" w:after="0"/>
            </w:pPr>
            <w:r/>
            <w:r>
              <w:rPr>
                <w:rFonts w:ascii="Aptos" w:hAnsi="Aptos"/>
                <w:b/>
                <w:color w:val="FFFFFF"/>
                <w:sz w:val="16"/>
              </w:rPr>
              <w:t>Assessment</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6"/>
              </w:rPr>
              <w:t>Business owner</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6"/>
              </w:rPr>
              <w:t>Reginald Duckman — CRCO / business owners by discovered use</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6"/>
              </w:rPr>
              <w:t>Ethical priority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6"/>
              </w:rPr>
              <w:t>E4 — Severe</w:t>
            </w:r>
          </w:p>
        </w:tc>
      </w:tr>
      <w:tr>
        <w:tc>
          <w:tcPr>
            <w:tcW w:type="dxa" w:w="2592"/>
            <w:vAlign w:val="center"/>
            <w:tcMar>
              <w:top w:w="70" w:type="dxa"/>
              <w:start w:w="85" w:type="dxa"/>
              <w:bottom w:w="70" w:type="dxa"/>
              <w:end w:w="85" w:type="dxa"/>
            </w:tcMar>
          </w:tcPr>
          <w:p>
            <w:pPr>
              <w:spacing w:before="0" w:after="0"/>
            </w:pPr>
            <w:r/>
            <w:r>
              <w:rPr>
                <w:rFonts w:ascii="Aptos" w:hAnsi="Aptos"/>
                <w:b w:val="0"/>
                <w:color w:val="27343E"/>
                <w:sz w:val="16"/>
              </w:rPr>
              <w:t>Current governance decision</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6"/>
              </w:rPr>
              <w:t>Immediate containment and decomposition</w:t>
            </w:r>
          </w:p>
        </w:tc>
      </w:tr>
      <w:t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6"/>
              </w:rPr>
              <w:t>Assessment boundary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6"/>
              </w:rPr>
              <w:t>Current stated intended purpose and described controls only; material purpose, model, data, user, autonomy or vendor changes require reassessment.</w:t>
            </w:r>
          </w:p>
        </w:tc>
      </w:tr>
    </w:tbl>
    <w:p>
      <w:pPr>
        <w:spacing w:after="0"/>
      </w:pPr>
    </w:p>
    <w:p>
      <w:pPr>
        <w:pStyle w:val="Heading2"/>
      </w:pPr>
      <w:r>
        <w:t>13.1 Positive ethical value</w:t>
      </w:r>
    </w:p>
    <w:p>
      <w:pPr>
        <w:pStyle w:val="ListBullet"/>
        <w:spacing w:after="50"/>
      </w:pPr>
      <w:r>
        <w:t>Employee experimentation can reveal useful use cases and productivity opportunities.</w:t>
      </w:r>
    </w:p>
    <w:p>
      <w:pPr>
        <w:pStyle w:val="ListBullet"/>
        <w:spacing w:after="50"/>
      </w:pPr>
      <w:r>
        <w:t>Low-friction experimentation may surface business needs that formal procurement has not yet addressed.</w:t>
      </w:r>
    </w:p>
    <w:p>
      <w:pPr>
        <w:pStyle w:val="Heading2"/>
      </w:pPr>
      <w:r>
        <w:t>13.2 Material ethical concerns</w:t>
      </w:r>
    </w:p>
    <w:p>
      <w:pPr>
        <w:pStyle w:val="ListBullet"/>
        <w:spacing w:after="50"/>
      </w:pPr>
      <w:r>
        <w:t>No stable intended purpose, owner, model/provider, data boundary, human-oversight design or evidence base exists for the aggregate condition.</w:t>
      </w:r>
    </w:p>
    <w:p>
      <w:pPr>
        <w:pStyle w:val="ListBullet"/>
        <w:spacing w:after="50"/>
      </w:pPr>
      <w:r>
        <w:t>Confidential, personal or proprietary information may be submitted to services with unknown retention, training or transfer terms.</w:t>
      </w:r>
    </w:p>
    <w:p>
      <w:pPr>
        <w:pStyle w:val="ListBullet"/>
        <w:spacing w:after="50"/>
      </w:pPr>
      <w:r>
        <w:t>Unregistered use can silently enter recruitment, customer, safety or other consequential processes without affected people knowing.</w:t>
      </w:r>
    </w:p>
    <w:p>
      <w:pPr>
        <w:pStyle w:val="ListBullet"/>
        <w:spacing w:after="50"/>
      </w:pPr>
      <w:r>
        <w:t>Lack of logging and vendor visibility undermines accountability, remedy and incident response.</w:t>
      </w:r>
    </w:p>
    <w:p>
      <w:pPr>
        <w:pStyle w:val="ListBullet"/>
        <w:spacing w:after="50"/>
      </w:pPr>
      <w:r>
        <w:t>Aggressive blocking without approved alternatives can drive use into less visible channels and weaken organizational trust.</w:t>
      </w:r>
    </w:p>
    <w:p>
      <w:pPr>
        <w:pStyle w:val="Heading2"/>
      </w:pPr>
      <w:r>
        <w:t>13.3 Ethical tensions / trade-offs</w:t>
      </w:r>
    </w:p>
    <w:p>
      <w:pPr>
        <w:pStyle w:val="ListBullet"/>
        <w:spacing w:after="50"/>
      </w:pPr>
      <w:r>
        <w:t>Rapid innovation versus the ethical requirement for accountable, knowable boundaries.</w:t>
      </w:r>
    </w:p>
    <w:p>
      <w:pPr>
        <w:pStyle w:val="ListBullet"/>
        <w:spacing w:after="50"/>
      </w:pPr>
      <w:r>
        <w:t>Employee autonomy and experimentation versus confidentiality, data subject interests and organizational responsibility.</w:t>
      </w:r>
    </w:p>
    <w:p>
      <w:pPr>
        <w:pStyle w:val="ListBullet"/>
        <w:spacing w:after="50"/>
      </w:pPr>
      <w:r>
        <w:t>Strict prohibition versus a proportionate approved-tool environment that people can realistically follow.</w:t>
      </w:r>
    </w:p>
    <w:p>
      <w:pPr>
        <w:pStyle w:val="Heading2"/>
      </w:pPr>
      <w:r>
        <w:t>13.4 Required safeguards and evidence</w:t>
      </w:r>
    </w:p>
    <w:p>
      <w:pPr>
        <w:spacing w:after="40"/>
      </w:pPr>
      <w:r>
        <w:t>☐ Contain restricted/sensitive uploads and identify material use cases.</w:t>
      </w:r>
    </w:p>
    <w:p>
      <w:pPr>
        <w:spacing w:after="40"/>
      </w:pPr>
      <w:r>
        <w:t>☐ Provide approved enterprise alternatives for common low-risk tasks.</w:t>
      </w:r>
    </w:p>
    <w:p>
      <w:pPr>
        <w:spacing w:after="40"/>
      </w:pPr>
      <w:r>
        <w:t>☐ Convert each material discovered use into its own inventory, owner, intended purpose and assessment.</w:t>
      </w:r>
    </w:p>
    <w:p>
      <w:pPr>
        <w:spacing w:after="40"/>
      </w:pPr>
      <w:r>
        <w:t>☐ Publish clear acceptable-use boundaries and a low-friction exception/intake path.</w:t>
      </w:r>
    </w:p>
    <w:p>
      <w:pPr>
        <w:spacing w:after="40"/>
      </w:pPr>
      <w:r>
        <w:t>☐ Use proportionate discovery/DLP controls with transparency and workforce/privacy review.</w:t>
      </w:r>
    </w:p>
    <w:p>
      <w:pPr>
        <w:spacing w:after="40"/>
      </w:pPr>
      <w:r>
        <w:t>☐ Investigate known exposures and preserve evidence without treating all experimentation as misconduct.</w:t>
      </w:r>
    </w:p>
    <w:p>
      <w:pPr>
        <w:spacing w:after="40"/>
      </w:pPr>
      <w:r>
        <w:t>☐ Stop any unregistered use in employment, safety, customer decisioning or other consequential context.</w:t>
      </w:r>
    </w:p>
    <w:p>
      <w:pPr>
        <w:pStyle w:val="Heading2"/>
      </w:pPr>
      <w:r>
        <w:t>13.5 Ethical monitoring indicators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vAlign w:val="center"/>
            <w:tcMar>
              <w:top w:w="70" w:type="dxa"/>
              <w:start w:w="85" w:type="dxa"/>
              <w:bottom w:w="70" w:type="dxa"/>
              <w:end w:w="85" w:type="dxa"/>
            </w:tcMar>
            <w:shd w:fill="173B57"/>
          </w:tcPr>
          <w:p>
            <w:pPr>
              <w:spacing w:before="0" w:after="0"/>
            </w:pPr>
            <w:r/>
            <w:r>
              <w:rPr>
                <w:rFonts w:ascii="Aptos" w:hAnsi="Aptos"/>
                <w:b/>
                <w:color w:val="FFFFFF"/>
                <w:sz w:val="15"/>
              </w:rPr>
              <w:t>Indicator</w:t>
            </w:r>
          </w:p>
        </w:tc>
        <w:tc>
          <w:tcPr>
            <w:tcW w:type="dxa" w:w="5616"/>
            <w:vAlign w:val="center"/>
            <w:tcMar>
              <w:top w:w="70" w:type="dxa"/>
              <w:start w:w="85" w:type="dxa"/>
              <w:bottom w:w="70" w:type="dxa"/>
              <w:end w:w="85" w:type="dxa"/>
            </w:tcMar>
            <w:shd w:fill="173B57"/>
          </w:tcPr>
          <w:p>
            <w:pPr>
              <w:spacing w:before="0" w:after="0"/>
            </w:pPr>
            <w:r/>
            <w:r>
              <w:rPr>
                <w:rFonts w:ascii="Aptos" w:hAnsi="Aptos"/>
                <w:b/>
                <w:color w:val="FFFFFF"/>
                <w:sz w:val="15"/>
              </w:rPr>
              <w:t>Why it matters</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Unapproved-tool detections</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Shows prevalence but must not be used alone as a workforce-performance metric.</w:t>
            </w:r>
          </w:p>
        </w:tc>
      </w:tr>
      <w:tr>
        <w:tc>
          <w:tcPr>
            <w:tcW w:type="dxa" w:w="3744"/>
            <w:vAlign w:val="center"/>
            <w:tcMar>
              <w:top w:w="70" w:type="dxa"/>
              <w:start w:w="85" w:type="dxa"/>
              <w:bottom w:w="70" w:type="dxa"/>
              <w:end w:w="85" w:type="dxa"/>
            </w:tcMar>
            <w:shd w:fill="F4F6F7"/>
          </w:tcPr>
          <w:p>
            <w:pPr>
              <w:spacing w:before="0" w:after="0"/>
            </w:pPr>
            <w:r/>
            <w:r>
              <w:rPr>
                <w:rFonts w:ascii="Aptos" w:hAnsi="Aptos"/>
                <w:b w:val="0"/>
                <w:color w:val="27343E"/>
                <w:sz w:val="15"/>
              </w:rPr>
              <w:t>Restricted-data DLP events</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Any confirmed event may indicate real privacy/confidentiality harm.</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Material uses converted to governed pilots</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Measures whether governance enables legitimate innovation.</w:t>
            </w:r>
          </w:p>
        </w:tc>
      </w:tr>
      <w:tr>
        <w:tc>
          <w:tcPr>
            <w:tcW w:type="dxa" w:w="3744"/>
            <w:vAlign w:val="center"/>
            <w:tcMar>
              <w:top w:w="70" w:type="dxa"/>
              <w:start w:w="85" w:type="dxa"/>
              <w:bottom w:w="70" w:type="dxa"/>
              <w:end w:w="85" w:type="dxa"/>
            </w:tcMar>
            <w:shd w:fill="F4F6F7"/>
          </w:tcPr>
          <w:p>
            <w:pPr>
              <w:spacing w:before="0" w:after="0"/>
            </w:pPr>
            <w:r/>
            <w:r>
              <w:rPr>
                <w:rFonts w:ascii="Aptos" w:hAnsi="Aptos"/>
                <w:b w:val="0"/>
                <w:color w:val="27343E"/>
                <w:sz w:val="15"/>
              </w:rPr>
              <w:t>Repeat policy breaches / workaround signals</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Can indicate poor behavior or poor control/process design.</w:t>
            </w:r>
          </w:p>
        </w:tc>
      </w:tr>
      <w:tr>
        <w:tc>
          <w:tcPr>
            <w:tcW w:type="dxa" w:w="3744"/>
            <w:vAlign w:val="center"/>
            <w:tcMar>
              <w:top w:w="70" w:type="dxa"/>
              <w:start w:w="85" w:type="dxa"/>
              <w:bottom w:w="70" w:type="dxa"/>
              <w:end w:w="85" w:type="dxa"/>
            </w:tcMar>
          </w:tcPr>
          <w:p>
            <w:pPr>
              <w:spacing w:before="0" w:after="0"/>
            </w:pPr>
            <w:r/>
            <w:r>
              <w:rPr>
                <w:rFonts w:ascii="Aptos" w:hAnsi="Aptos"/>
                <w:b w:val="0"/>
                <w:color w:val="27343E"/>
                <w:sz w:val="15"/>
              </w:rPr>
              <w:t>Approved-tool adoption</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Low adoption with persistent shadow use suggests usability/governance failure.</w:t>
            </w:r>
          </w:p>
        </w:tc>
      </w:tr>
    </w:tbl>
    <w:p>
      <w:pPr>
        <w:spacing w:after="0"/>
      </w:pPr>
    </w:p>
    <w:p>
      <w:pPr>
        <w:pStyle w:val="Heading2"/>
      </w:pPr>
      <w:r>
        <w:t>13.6 Reassessment triggers</w:t>
      </w:r>
    </w:p>
    <w:p>
      <w:pPr>
        <w:pStyle w:val="ListBullet"/>
        <w:spacing w:after="50"/>
      </w:pPr>
      <w:r>
        <w:t>Every newly discovered material use case.</w:t>
      </w:r>
    </w:p>
    <w:p>
      <w:pPr>
        <w:pStyle w:val="ListBullet"/>
        <w:spacing w:after="50"/>
      </w:pPr>
      <w:r>
        <w:t>Confirmed restricted-data disclosure.</w:t>
      </w:r>
    </w:p>
    <w:p>
      <w:pPr>
        <w:pStyle w:val="ListBullet"/>
        <w:spacing w:after="50"/>
      </w:pPr>
      <w:r>
        <w:t>New browser extension/agent with enterprise access.</w:t>
      </w:r>
    </w:p>
    <w:p>
      <w:pPr>
        <w:pStyle w:val="ListBullet"/>
        <w:spacing w:after="50"/>
      </w:pPr>
      <w:r>
        <w:t>Evidence of consequential HR/customer/safety use.</w:t>
      </w:r>
    </w:p>
    <w:p>
      <w:pPr>
        <w:pStyle w:val="ListBullet"/>
        <w:spacing w:after="50"/>
      </w:pPr>
      <w:r>
        <w:t>Control changes that cause users to migrate to harder-to-detect channels.</w:t>
      </w:r>
    </w:p>
    <w:p>
      <w:pPr>
        <w:pStyle w:val="Heading1"/>
      </w:pPr>
      <w:r>
        <w:t>14. Cross-Cutting Ethical Issues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944"/>
            <w:vAlign w:val="center"/>
            <w:tcMar>
              <w:top w:w="70" w:type="dxa"/>
              <w:start w:w="85" w:type="dxa"/>
              <w:bottom w:w="70" w:type="dxa"/>
              <w:end w:w="85" w:type="dxa"/>
            </w:tcMar>
            <w:shd w:fill="173B57"/>
          </w:tcPr>
          <w:p>
            <w:pPr>
              <w:spacing w:before="0" w:after="0"/>
            </w:pPr>
            <w:r/>
            <w:r>
              <w:rPr>
                <w:rFonts w:ascii="Aptos" w:hAnsi="Aptos"/>
                <w:b/>
                <w:color w:val="FFFFFF"/>
                <w:sz w:val="14"/>
              </w:rPr>
              <w:t>Issue</w:t>
            </w:r>
          </w:p>
        </w:tc>
        <w:tc>
          <w:tcPr>
            <w:tcW w:type="dxa" w:w="2376"/>
            <w:vAlign w:val="center"/>
            <w:tcMar>
              <w:top w:w="70" w:type="dxa"/>
              <w:start w:w="85" w:type="dxa"/>
              <w:bottom w:w="70" w:type="dxa"/>
              <w:end w:w="85" w:type="dxa"/>
            </w:tcMar>
            <w:shd w:fill="173B57"/>
          </w:tcPr>
          <w:p>
            <w:pPr>
              <w:spacing w:before="0" w:after="0"/>
            </w:pPr>
            <w:r/>
            <w:r>
              <w:rPr>
                <w:rFonts w:ascii="Aptos" w:hAnsi="Aptos"/>
                <w:b/>
                <w:color w:val="FFFFFF"/>
                <w:sz w:val="14"/>
              </w:rPr>
              <w:t>Systems</w:t>
            </w:r>
          </w:p>
        </w:tc>
        <w:tc>
          <w:tcPr>
            <w:tcW w:type="dxa" w:w="3816"/>
            <w:vAlign w:val="center"/>
            <w:tcMar>
              <w:top w:w="70" w:type="dxa"/>
              <w:start w:w="85" w:type="dxa"/>
              <w:bottom w:w="70" w:type="dxa"/>
              <w:end w:w="85" w:type="dxa"/>
            </w:tcMar>
            <w:shd w:fill="173B57"/>
          </w:tcPr>
          <w:p>
            <w:pPr>
              <w:spacing w:before="0" w:after="0"/>
            </w:pPr>
            <w:r/>
            <w:r>
              <w:rPr>
                <w:rFonts w:ascii="Aptos" w:hAnsi="Aptos"/>
                <w:b/>
                <w:color w:val="FFFFFF"/>
                <w:sz w:val="14"/>
              </w:rPr>
              <w:t>Ethical concern</w:t>
            </w:r>
          </w:p>
        </w:tc>
        <w:tc>
          <w:tcPr>
            <w:tcW w:type="dxa" w:w="2232"/>
            <w:vAlign w:val="center"/>
            <w:tcMar>
              <w:top w:w="70" w:type="dxa"/>
              <w:start w:w="85" w:type="dxa"/>
              <w:bottom w:w="70" w:type="dxa"/>
              <w:end w:w="85" w:type="dxa"/>
            </w:tcMar>
            <w:shd w:fill="173B57"/>
          </w:tcPr>
          <w:p>
            <w:pPr>
              <w:spacing w:before="0" w:after="0"/>
            </w:pPr>
            <w:r/>
            <w:r>
              <w:rPr>
                <w:rFonts w:ascii="Aptos" w:hAnsi="Aptos"/>
                <w:b/>
                <w:color w:val="FFFFFF"/>
                <w:sz w:val="14"/>
              </w:rPr>
              <w:t>Duckworks response</w:t>
            </w:r>
          </w:p>
        </w:tc>
      </w:tr>
      <w:tr>
        <w:tc>
          <w:tcPr>
            <w:tcW w:type="dxa" w:w="1944"/>
            <w:vAlign w:val="center"/>
            <w:tcMar>
              <w:top w:w="70" w:type="dxa"/>
              <w:start w:w="85" w:type="dxa"/>
              <w:bottom w:w="70" w:type="dxa"/>
              <w:end w:w="85" w:type="dxa"/>
            </w:tcMar>
          </w:tcPr>
          <w:p>
            <w:pPr>
              <w:spacing w:before="0" w:after="0"/>
            </w:pPr>
            <w:r/>
            <w:r>
              <w:rPr>
                <w:rFonts w:ascii="Aptos" w:hAnsi="Aptos"/>
                <w:b w:val="0"/>
                <w:color w:val="27343E"/>
                <w:sz w:val="14"/>
              </w:rPr>
              <w:t>Automation bias</w:t>
            </w:r>
          </w:p>
        </w:tc>
        <w:tc>
          <w:tcPr>
            <w:tcW w:type="dxa" w:w="2376"/>
            <w:vAlign w:val="center"/>
            <w:tcMar>
              <w:top w:w="70" w:type="dxa"/>
              <w:start w:w="85" w:type="dxa"/>
              <w:bottom w:w="70" w:type="dxa"/>
              <w:end w:w="85" w:type="dxa"/>
            </w:tcMar>
          </w:tcPr>
          <w:p>
            <w:pPr>
              <w:spacing w:before="0" w:after="0"/>
            </w:pPr>
            <w:r/>
            <w:r>
              <w:rPr>
                <w:rFonts w:ascii="Aptos" w:hAnsi="Aptos"/>
                <w:b w:val="0"/>
                <w:color w:val="27343E"/>
                <w:sz w:val="14"/>
              </w:rPr>
              <w:t>DuckTalent, DuckDesign, WingInspect, FeatherForecast, QuackBot, PondGPT</w:t>
            </w:r>
          </w:p>
        </w:tc>
        <w:tc>
          <w:tcPr>
            <w:tcW w:type="dxa" w:w="3816"/>
            <w:vAlign w:val="center"/>
            <w:tcMar>
              <w:top w:w="70" w:type="dxa"/>
              <w:start w:w="85" w:type="dxa"/>
              <w:bottom w:w="70" w:type="dxa"/>
              <w:end w:w="85" w:type="dxa"/>
            </w:tcMar>
          </w:tcPr>
          <w:p>
            <w:pPr>
              <w:spacing w:before="0" w:after="0"/>
            </w:pPr>
            <w:r/>
            <w:r>
              <w:rPr>
                <w:rFonts w:ascii="Aptos" w:hAnsi="Aptos"/>
                <w:b w:val="0"/>
                <w:color w:val="27343E"/>
                <w:sz w:val="14"/>
              </w:rPr>
              <w:t>Human review can be formally present but practically ineffective if UI/process incentives privilege AI output.</w:t>
            </w:r>
          </w:p>
        </w:tc>
        <w:tc>
          <w:tcPr>
            <w:tcW w:type="dxa" w:w="2232"/>
            <w:vAlign w:val="center"/>
            <w:tcMar>
              <w:top w:w="70" w:type="dxa"/>
              <w:start w:w="85" w:type="dxa"/>
              <w:bottom w:w="70" w:type="dxa"/>
              <w:end w:w="85" w:type="dxa"/>
            </w:tcMar>
          </w:tcPr>
          <w:p>
            <w:pPr>
              <w:spacing w:before="0" w:after="0"/>
            </w:pPr>
            <w:r/>
            <w:r>
              <w:rPr>
                <w:rFonts w:ascii="Aptos" w:hAnsi="Aptos"/>
                <w:b w:val="0"/>
                <w:color w:val="27343E"/>
                <w:sz w:val="14"/>
              </w:rPr>
              <w:t>Track overrides, disagreements, reviewer rationale, time pressure and ability to stop.</w:t>
            </w:r>
          </w:p>
        </w:tc>
      </w:tr>
      <w:tr>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4"/>
              </w:rPr>
              <w:t>Power asymmetry</w:t>
            </w:r>
          </w:p>
        </w:tc>
        <w:tc>
          <w:tcPr>
            <w:tcW w:type="dxa" w:w="2376"/>
            <w:vAlign w:val="center"/>
            <w:tcMar>
              <w:top w:w="70" w:type="dxa"/>
              <w:start w:w="85" w:type="dxa"/>
              <w:bottom w:w="70" w:type="dxa"/>
              <w:end w:w="85" w:type="dxa"/>
            </w:tcMar>
            <w:shd w:fill="F4F6F7"/>
          </w:tcPr>
          <w:p>
            <w:pPr>
              <w:spacing w:before="0" w:after="0"/>
            </w:pPr>
            <w:r/>
            <w:r>
              <w:rPr>
                <w:rFonts w:ascii="Aptos" w:hAnsi="Aptos"/>
                <w:b w:val="0"/>
                <w:color w:val="27343E"/>
                <w:sz w:val="14"/>
              </w:rPr>
              <w:t>DuckTalent, workplace AI, customer AI</w:t>
            </w:r>
          </w:p>
        </w:tc>
        <w:tc>
          <w:tcPr>
            <w:tcW w:type="dxa" w:w="3816"/>
            <w:vAlign w:val="center"/>
            <w:tcMar>
              <w:top w:w="70" w:type="dxa"/>
              <w:start w:w="85" w:type="dxa"/>
              <w:bottom w:w="70" w:type="dxa"/>
              <w:end w:w="85" w:type="dxa"/>
            </w:tcMar>
            <w:shd w:fill="F4F6F7"/>
          </w:tcPr>
          <w:p>
            <w:pPr>
              <w:spacing w:before="0" w:after="0"/>
            </w:pPr>
            <w:r/>
            <w:r>
              <w:rPr>
                <w:rFonts w:ascii="Aptos" w:hAnsi="Aptos"/>
                <w:b w:val="0"/>
                <w:color w:val="27343E"/>
                <w:sz w:val="14"/>
              </w:rPr>
              <w:t>Affected people may have little bargaining power or knowledge of how AI influences outcomes.</w:t>
            </w:r>
          </w:p>
        </w:tc>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4"/>
              </w:rPr>
              <w:t>Notice, accessible alternatives, challenge, remedy and representative stakeholder input.</w:t>
            </w:r>
          </w:p>
        </w:tc>
      </w:tr>
      <w:tr>
        <w:tc>
          <w:tcPr>
            <w:tcW w:type="dxa" w:w="1944"/>
            <w:vAlign w:val="center"/>
            <w:tcMar>
              <w:top w:w="70" w:type="dxa"/>
              <w:start w:w="85" w:type="dxa"/>
              <w:bottom w:w="70" w:type="dxa"/>
              <w:end w:w="85" w:type="dxa"/>
            </w:tcMar>
          </w:tcPr>
          <w:p>
            <w:pPr>
              <w:spacing w:before="0" w:after="0"/>
            </w:pPr>
            <w:r/>
            <w:r>
              <w:rPr>
                <w:rFonts w:ascii="Aptos" w:hAnsi="Aptos"/>
                <w:b w:val="0"/>
                <w:color w:val="27343E"/>
                <w:sz w:val="14"/>
              </w:rPr>
              <w:t>Purpose creep</w:t>
            </w:r>
          </w:p>
        </w:tc>
        <w:tc>
          <w:tcPr>
            <w:tcW w:type="dxa" w:w="2376"/>
            <w:vAlign w:val="center"/>
            <w:tcMar>
              <w:top w:w="70" w:type="dxa"/>
              <w:start w:w="85" w:type="dxa"/>
              <w:bottom w:w="70" w:type="dxa"/>
              <w:end w:w="85" w:type="dxa"/>
            </w:tcMar>
          </w:tcPr>
          <w:p>
            <w:pPr>
              <w:spacing w:before="0" w:after="0"/>
            </w:pPr>
            <w:r/>
            <w:r>
              <w:rPr>
                <w:rFonts w:ascii="Aptos" w:hAnsi="Aptos"/>
                <w:b w:val="0"/>
                <w:color w:val="27343E"/>
                <w:sz w:val="14"/>
              </w:rPr>
              <w:t>PondGPT, WingInspect imagery, shadow AI, DuckTalent data</w:t>
            </w:r>
          </w:p>
        </w:tc>
        <w:tc>
          <w:tcPr>
            <w:tcW w:type="dxa" w:w="3816"/>
            <w:vAlign w:val="center"/>
            <w:tcMar>
              <w:top w:w="70" w:type="dxa"/>
              <w:start w:w="85" w:type="dxa"/>
              <w:bottom w:w="70" w:type="dxa"/>
              <w:end w:w="85" w:type="dxa"/>
            </w:tcMar>
          </w:tcPr>
          <w:p>
            <w:pPr>
              <w:spacing w:before="0" w:after="0"/>
            </w:pPr>
            <w:r/>
            <w:r>
              <w:rPr>
                <w:rFonts w:ascii="Aptos" w:hAnsi="Aptos"/>
                <w:b w:val="0"/>
                <w:color w:val="27343E"/>
                <w:sz w:val="14"/>
              </w:rPr>
              <w:t>Data/AI built for one purpose can be quietly repurposed into monitoring or consequential decisions.</w:t>
            </w:r>
          </w:p>
        </w:tc>
        <w:tc>
          <w:tcPr>
            <w:tcW w:type="dxa" w:w="2232"/>
            <w:vAlign w:val="center"/>
            <w:tcMar>
              <w:top w:w="70" w:type="dxa"/>
              <w:start w:w="85" w:type="dxa"/>
              <w:bottom w:w="70" w:type="dxa"/>
              <w:end w:w="85" w:type="dxa"/>
            </w:tcMar>
          </w:tcPr>
          <w:p>
            <w:pPr>
              <w:spacing w:before="0" w:after="0"/>
            </w:pPr>
            <w:r/>
            <w:r>
              <w:rPr>
                <w:rFonts w:ascii="Aptos" w:hAnsi="Aptos"/>
                <w:b w:val="0"/>
                <w:color w:val="27343E"/>
                <w:sz w:val="14"/>
              </w:rPr>
              <w:t>Purpose lock, change management, access logging, specialist review.</w:t>
            </w:r>
          </w:p>
        </w:tc>
      </w:tr>
      <w:tr>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4"/>
              </w:rPr>
              <w:t>Opacity and provenance</w:t>
            </w:r>
          </w:p>
        </w:tc>
        <w:tc>
          <w:tcPr>
            <w:tcW w:type="dxa" w:w="2376"/>
            <w:vAlign w:val="center"/>
            <w:tcMar>
              <w:top w:w="70" w:type="dxa"/>
              <w:start w:w="85" w:type="dxa"/>
              <w:bottom w:w="70" w:type="dxa"/>
              <w:end w:w="85" w:type="dxa"/>
            </w:tcMar>
            <w:shd w:fill="F4F6F7"/>
          </w:tcPr>
          <w:p>
            <w:pPr>
              <w:spacing w:before="0" w:after="0"/>
            </w:pPr>
            <w:r/>
            <w:r>
              <w:rPr>
                <w:rFonts w:ascii="Aptos" w:hAnsi="Aptos"/>
                <w:b w:val="0"/>
                <w:color w:val="27343E"/>
                <w:sz w:val="14"/>
              </w:rPr>
              <w:t>Generative AI and ranking systems</w:t>
            </w:r>
          </w:p>
        </w:tc>
        <w:tc>
          <w:tcPr>
            <w:tcW w:type="dxa" w:w="3816"/>
            <w:vAlign w:val="center"/>
            <w:tcMar>
              <w:top w:w="70" w:type="dxa"/>
              <w:start w:w="85" w:type="dxa"/>
              <w:bottom w:w="70" w:type="dxa"/>
              <w:end w:w="85" w:type="dxa"/>
            </w:tcMar>
            <w:shd w:fill="F4F6F7"/>
          </w:tcPr>
          <w:p>
            <w:pPr>
              <w:spacing w:before="0" w:after="0"/>
            </w:pPr>
            <w:r/>
            <w:r>
              <w:rPr>
                <w:rFonts w:ascii="Aptos" w:hAnsi="Aptos"/>
                <w:b w:val="0"/>
                <w:color w:val="27343E"/>
                <w:sz w:val="14"/>
              </w:rPr>
              <w:t>Fluent output or scores can appear objective without adequate basis.</w:t>
            </w:r>
          </w:p>
        </w:tc>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4"/>
              </w:rPr>
              <w:t>Source provenance, limitation statements, explanation appropriate to stakeholder.</w:t>
            </w:r>
          </w:p>
        </w:tc>
      </w:tr>
      <w:tr>
        <w:tc>
          <w:tcPr>
            <w:tcW w:type="dxa" w:w="1944"/>
            <w:vAlign w:val="center"/>
            <w:tcMar>
              <w:top w:w="70" w:type="dxa"/>
              <w:start w:w="85" w:type="dxa"/>
              <w:bottom w:w="70" w:type="dxa"/>
              <w:end w:w="85" w:type="dxa"/>
            </w:tcMar>
          </w:tcPr>
          <w:p>
            <w:pPr>
              <w:spacing w:before="0" w:after="0"/>
            </w:pPr>
            <w:r/>
            <w:r>
              <w:rPr>
                <w:rFonts w:ascii="Aptos" w:hAnsi="Aptos"/>
                <w:b w:val="0"/>
                <w:color w:val="27343E"/>
                <w:sz w:val="14"/>
              </w:rPr>
              <w:t>Accountability diffusion</w:t>
            </w:r>
          </w:p>
        </w:tc>
        <w:tc>
          <w:tcPr>
            <w:tcW w:type="dxa" w:w="2376"/>
            <w:vAlign w:val="center"/>
            <w:tcMar>
              <w:top w:w="70" w:type="dxa"/>
              <w:start w:w="85" w:type="dxa"/>
              <w:bottom w:w="70" w:type="dxa"/>
              <w:end w:w="85" w:type="dxa"/>
            </w:tcMar>
          </w:tcPr>
          <w:p>
            <w:pPr>
              <w:spacing w:before="0" w:after="0"/>
            </w:pPr>
            <w:r/>
            <w:r>
              <w:rPr>
                <w:rFonts w:ascii="Aptos" w:hAnsi="Aptos"/>
                <w:b w:val="0"/>
                <w:color w:val="27343E"/>
                <w:sz w:val="14"/>
              </w:rPr>
              <w:t>Third-party AI and shadow AI</w:t>
            </w:r>
          </w:p>
        </w:tc>
        <w:tc>
          <w:tcPr>
            <w:tcW w:type="dxa" w:w="3816"/>
            <w:vAlign w:val="center"/>
            <w:tcMar>
              <w:top w:w="70" w:type="dxa"/>
              <w:start w:w="85" w:type="dxa"/>
              <w:bottom w:w="70" w:type="dxa"/>
              <w:end w:w="85" w:type="dxa"/>
            </w:tcMar>
          </w:tcPr>
          <w:p>
            <w:pPr>
              <w:spacing w:before="0" w:after="0"/>
            </w:pPr>
            <w:r/>
            <w:r>
              <w:rPr>
                <w:rFonts w:ascii="Aptos" w:hAnsi="Aptos"/>
                <w:b w:val="0"/>
                <w:color w:val="27343E"/>
                <w:sz w:val="14"/>
              </w:rPr>
              <w:t>Vendor complexity can make responsibility appear external or unowned.</w:t>
            </w:r>
          </w:p>
        </w:tc>
        <w:tc>
          <w:tcPr>
            <w:tcW w:type="dxa" w:w="2232"/>
            <w:vAlign w:val="center"/>
            <w:tcMar>
              <w:top w:w="70" w:type="dxa"/>
              <w:start w:w="85" w:type="dxa"/>
              <w:bottom w:w="70" w:type="dxa"/>
              <w:end w:w="85" w:type="dxa"/>
            </w:tcMar>
          </w:tcPr>
          <w:p>
            <w:pPr>
              <w:spacing w:before="0" w:after="0"/>
            </w:pPr>
            <w:r/>
            <w:r>
              <w:rPr>
                <w:rFonts w:ascii="Aptos" w:hAnsi="Aptos"/>
                <w:b w:val="0"/>
                <w:color w:val="27343E"/>
                <w:sz w:val="14"/>
              </w:rPr>
              <w:t>Named Duckworks owner, contractual evidence, change notice, incident/exit rights.</w:t>
            </w:r>
          </w:p>
        </w:tc>
      </w:tr>
      <w:tr>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4"/>
              </w:rPr>
              <w:t>Digital exclusion</w:t>
            </w:r>
          </w:p>
        </w:tc>
        <w:tc>
          <w:tcPr>
            <w:tcW w:type="dxa" w:w="2376"/>
            <w:vAlign w:val="center"/>
            <w:tcMar>
              <w:top w:w="70" w:type="dxa"/>
              <w:start w:w="85" w:type="dxa"/>
              <w:bottom w:w="70" w:type="dxa"/>
              <w:end w:w="85" w:type="dxa"/>
            </w:tcMar>
            <w:shd w:fill="F4F6F7"/>
          </w:tcPr>
          <w:p>
            <w:pPr>
              <w:spacing w:before="0" w:after="0"/>
            </w:pPr>
            <w:r/>
            <w:r>
              <w:rPr>
                <w:rFonts w:ascii="Aptos" w:hAnsi="Aptos"/>
                <w:b w:val="0"/>
                <w:color w:val="27343E"/>
                <w:sz w:val="14"/>
              </w:rPr>
              <w:t>QuackBot, DuckTalent, PondGPT</w:t>
            </w:r>
          </w:p>
        </w:tc>
        <w:tc>
          <w:tcPr>
            <w:tcW w:type="dxa" w:w="3816"/>
            <w:vAlign w:val="center"/>
            <w:tcMar>
              <w:top w:w="70" w:type="dxa"/>
              <w:start w:w="85" w:type="dxa"/>
              <w:bottom w:w="70" w:type="dxa"/>
              <w:end w:w="85" w:type="dxa"/>
            </w:tcMar>
            <w:shd w:fill="F4F6F7"/>
          </w:tcPr>
          <w:p>
            <w:pPr>
              <w:spacing w:before="0" w:after="0"/>
            </w:pPr>
            <w:r/>
            <w:r>
              <w:rPr>
                <w:rFonts w:ascii="Aptos" w:hAnsi="Aptos"/>
                <w:b w:val="0"/>
                <w:color w:val="27343E"/>
                <w:sz w:val="14"/>
              </w:rPr>
              <w:t>AI-first processes can disadvantage users who need human assistance, accessibility accommodations or non-standard channels.</w:t>
            </w:r>
          </w:p>
        </w:tc>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4"/>
              </w:rPr>
              <w:t>Accessible human alternative and accommodation testing.</w:t>
            </w:r>
          </w:p>
        </w:tc>
      </w:tr>
      <w:tr>
        <w:tc>
          <w:tcPr>
            <w:tcW w:type="dxa" w:w="1944"/>
            <w:vAlign w:val="center"/>
            <w:tcMar>
              <w:top w:w="70" w:type="dxa"/>
              <w:start w:w="85" w:type="dxa"/>
              <w:bottom w:w="70" w:type="dxa"/>
              <w:end w:w="85" w:type="dxa"/>
            </w:tcMar>
          </w:tcPr>
          <w:p>
            <w:pPr>
              <w:spacing w:before="0" w:after="0"/>
            </w:pPr>
            <w:r/>
            <w:r>
              <w:rPr>
                <w:rFonts w:ascii="Aptos" w:hAnsi="Aptos"/>
                <w:b w:val="0"/>
                <w:color w:val="27343E"/>
                <w:sz w:val="14"/>
              </w:rPr>
              <w:t>Environmental/resource effects</w:t>
            </w:r>
          </w:p>
        </w:tc>
        <w:tc>
          <w:tcPr>
            <w:tcW w:type="dxa" w:w="2376"/>
            <w:vAlign w:val="center"/>
            <w:tcMar>
              <w:top w:w="70" w:type="dxa"/>
              <w:start w:w="85" w:type="dxa"/>
              <w:bottom w:w="70" w:type="dxa"/>
              <w:end w:w="85" w:type="dxa"/>
            </w:tcMar>
          </w:tcPr>
          <w:p>
            <w:pPr>
              <w:spacing w:before="0" w:after="0"/>
            </w:pPr>
            <w:r/>
            <w:r>
              <w:rPr>
                <w:rFonts w:ascii="Aptos" w:hAnsi="Aptos"/>
                <w:b w:val="0"/>
                <w:color w:val="27343E"/>
                <w:sz w:val="14"/>
              </w:rPr>
              <w:t>All; especially compute-intensive GenAI</w:t>
            </w:r>
          </w:p>
        </w:tc>
        <w:tc>
          <w:tcPr>
            <w:tcW w:type="dxa" w:w="3816"/>
            <w:vAlign w:val="center"/>
            <w:tcMar>
              <w:top w:w="70" w:type="dxa"/>
              <w:start w:w="85" w:type="dxa"/>
              <w:bottom w:w="70" w:type="dxa"/>
              <w:end w:w="85" w:type="dxa"/>
            </w:tcMar>
          </w:tcPr>
          <w:p>
            <w:pPr>
              <w:spacing w:before="0" w:after="0"/>
            </w:pPr>
            <w:r/>
            <w:r>
              <w:rPr>
                <w:rFonts w:ascii="Aptos" w:hAnsi="Aptos"/>
                <w:b w:val="0"/>
                <w:color w:val="27343E"/>
                <w:sz w:val="14"/>
              </w:rPr>
              <w:t>Portfolio evidence lacks provider-specific energy/emissions/resource data.</w:t>
            </w:r>
          </w:p>
        </w:tc>
        <w:tc>
          <w:tcPr>
            <w:tcW w:type="dxa" w:w="2232"/>
            <w:vAlign w:val="center"/>
            <w:tcMar>
              <w:top w:w="70" w:type="dxa"/>
              <w:start w:w="85" w:type="dxa"/>
              <w:bottom w:w="70" w:type="dxa"/>
              <w:end w:w="85" w:type="dxa"/>
            </w:tcMar>
          </w:tcPr>
          <w:p>
            <w:pPr>
              <w:spacing w:before="0" w:after="0"/>
            </w:pPr>
            <w:r/>
            <w:r>
              <w:rPr>
                <w:rFonts w:ascii="Aptos" w:hAnsi="Aptos"/>
                <w:b w:val="0"/>
                <w:color w:val="27343E"/>
                <w:sz w:val="14"/>
              </w:rPr>
              <w:t>Treat as an evidence gap; avoid unsupported sustainability claims; obtain data where material.</w:t>
            </w:r>
          </w:p>
        </w:tc>
      </w:tr>
    </w:tbl>
    <w:p>
      <w:pPr>
        <w:spacing w:after="0"/>
      </w:pPr>
    </w:p>
    <w:p>
      <w:pPr>
        <w:pStyle w:val="Heading1"/>
      </w:pPr>
      <w:r>
        <w:t>15. Duckworks Ethical Red Lines</w:t>
      </w:r>
    </w:p>
    <w:p>
      <w:pPr>
        <w:spacing w:after="100" w:line="247" w:lineRule="auto"/>
      </w:pPr>
      <w:r>
        <w:t>The following are internal ethical governance prohibitions/stop conditions. Some may also overlap with legal prohibitions or mandatory requirements, but this section does not claim that every item is independently required by law.</w:t>
      </w:r>
    </w:p>
    <w:p>
      <w:pPr>
        <w:pStyle w:val="ListBullet"/>
        <w:spacing w:after="50"/>
      </w:pPr>
      <w:r>
        <w:t>No autonomous hiring or rejection through DuckTalent in the stated design.</w:t>
      </w:r>
    </w:p>
    <w:p>
      <w:pPr>
        <w:pStyle w:val="ListBullet"/>
        <w:spacing w:after="50"/>
      </w:pPr>
      <w:r>
        <w:t>No deliberate discrimination or intentional use of protected/sensitive attributes for unrelated decision criteria.</w:t>
      </w:r>
    </w:p>
    <w:p>
      <w:pPr>
        <w:pStyle w:val="ListBullet"/>
        <w:spacing w:after="50"/>
      </w:pPr>
      <w:r>
        <w:t>No removal of required human authority for product design release, manufacturing quality acceptance or other safety-relevant decisions without a new governance and legal/safety assessment.</w:t>
      </w:r>
    </w:p>
    <w:p>
      <w:pPr>
        <w:pStyle w:val="ListBullet"/>
        <w:spacing w:after="50"/>
      </w:pPr>
      <w:r>
        <w:t>No covert employee performance scoring based on PondGPT prompts, conversations or usage analytics.</w:t>
      </w:r>
    </w:p>
    <w:p>
      <w:pPr>
        <w:pStyle w:val="ListBullet"/>
        <w:spacing w:after="50"/>
      </w:pPr>
      <w:r>
        <w:t>No use of WingInspect production imagery for worker disciplinary monitoring without a new approved purpose and assessment.</w:t>
      </w:r>
    </w:p>
    <w:p>
      <w:pPr>
        <w:pStyle w:val="ListBullet"/>
        <w:spacing w:after="50"/>
      </w:pPr>
      <w:r>
        <w:t>No knowingly unapproved public AI use with restricted/confidential/personal data.</w:t>
      </w:r>
    </w:p>
    <w:p>
      <w:pPr>
        <w:pStyle w:val="ListBullet"/>
        <w:spacing w:after="50"/>
      </w:pPr>
      <w:r>
        <w:t>No suppression or falsification of AI incidents, validation failures, fairness results, audit evidence or material model limitations.</w:t>
      </w:r>
    </w:p>
    <w:p>
      <w:pPr>
        <w:pStyle w:val="ListBullet"/>
        <w:spacing w:after="50"/>
      </w:pPr>
      <w:r>
        <w:t>No customer-facing AI design that makes a human channel practically unavailable for consequential or contested matters.</w:t>
      </w:r>
    </w:p>
    <w:p>
      <w:pPr>
        <w:pStyle w:val="ListBullet"/>
        <w:spacing w:after="50"/>
      </w:pPr>
      <w:r>
        <w:t>No release where a Severe (E4) ethical concern remains untreated and the current system state lacks adequate remedy or governance evidence.</w:t>
      </w:r>
    </w:p>
    <w:p>
      <w:pPr>
        <w:pStyle w:val="Heading1"/>
      </w:pPr>
      <w:r>
        <w:t>16. Ethical Treatment and Action Plan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80"/>
            <w:vAlign w:val="center"/>
            <w:tcMar>
              <w:top w:w="70" w:type="dxa"/>
              <w:start w:w="85" w:type="dxa"/>
              <w:bottom w:w="70" w:type="dxa"/>
              <w:end w:w="85" w:type="dxa"/>
            </w:tcMar>
            <w:shd w:fill="173B57"/>
          </w:tcPr>
          <w:p>
            <w:pPr>
              <w:spacing w:before="0" w:after="0" w:line="228" w:lineRule="auto"/>
            </w:pPr>
            <w:r>
              <w:rPr>
                <w:rFonts w:ascii="Aptos" w:hAnsi="Aptos"/>
                <w:sz w:val="12"/>
              </w:rPr>
            </w:r>
            <w:r>
              <w:rPr>
                <w:rFonts w:ascii="Aptos" w:hAnsi="Aptos"/>
                <w:b/>
                <w:color w:val="FFFFFF"/>
                <w:sz w:val="12"/>
              </w:rPr>
              <w:t>ID</w:t>
            </w:r>
          </w:p>
        </w:tc>
        <w:tc>
          <w:tcPr>
            <w:tcW w:type="dxa" w:w="1584"/>
            <w:vAlign w:val="center"/>
            <w:tcMar>
              <w:top w:w="70" w:type="dxa"/>
              <w:start w:w="85" w:type="dxa"/>
              <w:bottom w:w="70" w:type="dxa"/>
              <w:end w:w="85" w:type="dxa"/>
            </w:tcMar>
            <w:shd w:fill="173B57"/>
          </w:tcPr>
          <w:p>
            <w:pPr>
              <w:spacing w:before="0" w:after="0" w:line="228" w:lineRule="auto"/>
            </w:pPr>
            <w:r>
              <w:rPr>
                <w:rFonts w:ascii="Aptos" w:hAnsi="Aptos"/>
                <w:sz w:val="12"/>
              </w:rPr>
            </w:r>
            <w:r>
              <w:rPr>
                <w:rFonts w:ascii="Aptos" w:hAnsi="Aptos"/>
                <w:b/>
                <w:color w:val="FFFFFF"/>
                <w:sz w:val="12"/>
              </w:rPr>
              <w:t>Scope</w:t>
            </w:r>
          </w:p>
        </w:tc>
        <w:tc>
          <w:tcPr>
            <w:tcW w:type="dxa" w:w="4896"/>
            <w:vAlign w:val="center"/>
            <w:tcMar>
              <w:top w:w="70" w:type="dxa"/>
              <w:start w:w="85" w:type="dxa"/>
              <w:bottom w:w="70" w:type="dxa"/>
              <w:end w:w="85" w:type="dxa"/>
            </w:tcMar>
            <w:shd w:fill="173B57"/>
          </w:tcPr>
          <w:p>
            <w:pPr>
              <w:spacing w:before="0" w:after="0" w:line="228" w:lineRule="auto"/>
            </w:pPr>
            <w:r>
              <w:rPr>
                <w:rFonts w:ascii="Aptos" w:hAnsi="Aptos"/>
                <w:sz w:val="12"/>
              </w:rPr>
            </w:r>
            <w:r>
              <w:rPr>
                <w:rFonts w:ascii="Aptos" w:hAnsi="Aptos"/>
                <w:b/>
                <w:color w:val="FFFFFF"/>
                <w:sz w:val="12"/>
              </w:rPr>
              <w:t>Required action</w:t>
            </w:r>
          </w:p>
        </w:tc>
        <w:tc>
          <w:tcPr>
            <w:tcW w:type="dxa" w:w="2448"/>
            <w:vAlign w:val="center"/>
            <w:tcMar>
              <w:top w:w="70" w:type="dxa"/>
              <w:start w:w="85" w:type="dxa"/>
              <w:bottom w:w="70" w:type="dxa"/>
              <w:end w:w="85" w:type="dxa"/>
            </w:tcMar>
            <w:shd w:fill="173B57"/>
          </w:tcPr>
          <w:p>
            <w:pPr>
              <w:spacing w:before="0" w:after="0" w:line="228" w:lineRule="auto"/>
            </w:pPr>
            <w:r>
              <w:rPr>
                <w:rFonts w:ascii="Aptos" w:hAnsi="Aptos"/>
                <w:sz w:val="12"/>
              </w:rPr>
            </w:r>
            <w:r>
              <w:rPr>
                <w:rFonts w:ascii="Aptos" w:hAnsi="Aptos"/>
                <w:b/>
                <w:color w:val="FFFFFF"/>
                <w:sz w:val="12"/>
              </w:rPr>
              <w:t>Owner</w:t>
            </w:r>
          </w:p>
        </w:tc>
        <w:tc>
          <w:tcPr>
            <w:tcW w:type="dxa" w:w="1296"/>
            <w:vAlign w:val="center"/>
            <w:tcMar>
              <w:top w:w="70" w:type="dxa"/>
              <w:start w:w="85" w:type="dxa"/>
              <w:bottom w:w="70" w:type="dxa"/>
              <w:end w:w="85" w:type="dxa"/>
            </w:tcMar>
            <w:shd w:fill="173B57"/>
          </w:tcPr>
          <w:p>
            <w:pPr>
              <w:spacing w:before="0" w:after="0" w:line="228" w:lineRule="auto"/>
            </w:pPr>
            <w:r>
              <w:rPr>
                <w:rFonts w:ascii="Aptos" w:hAnsi="Aptos"/>
                <w:sz w:val="12"/>
              </w:rPr>
            </w:r>
            <w:r>
              <w:rPr>
                <w:rFonts w:ascii="Aptos" w:hAnsi="Aptos"/>
                <w:b/>
                <w:color w:val="FFFFFF"/>
                <w:sz w:val="12"/>
              </w:rPr>
              <w:t>Priority</w:t>
            </w:r>
          </w:p>
        </w:tc>
      </w:tr>
      <w:tr>
        <w:tc>
          <w:tcPr>
            <w:tcW w:type="dxa" w:w="1080"/>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ETH-01</w:t>
            </w:r>
          </w:p>
        </w:tc>
        <w:tc>
          <w:tcPr>
            <w:tcW w:type="dxa" w:w="1584"/>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DuckTalent</w:t>
            </w:r>
          </w:p>
        </w:tc>
        <w:tc>
          <w:tcPr>
            <w:tcW w:type="dxa" w:w="4896"/>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Maintain Do Not Deploy; complete fairness/job-relevance, accessibility, DPIA/legal, human oversight, contestability and vendor evidence.</w:t>
            </w:r>
          </w:p>
        </w:tc>
        <w:tc>
          <w:tcPr>
            <w:tcW w:type="dxa" w:w="2448"/>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CPO + AI Governance + Legal/DPO</w:t>
            </w:r>
          </w:p>
        </w:tc>
        <w:tc>
          <w:tcPr>
            <w:tcW w:type="dxa" w:w="1296"/>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Blocking</w:t>
            </w:r>
          </w:p>
        </w:tc>
      </w:tr>
      <w:tr>
        <w:tc>
          <w:tcPr>
            <w:tcW w:type="dxa" w:w="1080"/>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ETH-02</w:t>
            </w:r>
          </w:p>
        </w:tc>
        <w:tc>
          <w:tcPr>
            <w:tcW w:type="dxa" w:w="1584"/>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QuackBot</w:t>
            </w:r>
          </w:p>
        </w:tc>
        <w:tc>
          <w:tcPr>
            <w:tcW w:type="dxa" w:w="4896"/>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Complete customer transparency, safe escalation, grounded-answer, prompt/RAG security, complaint/remedy and accessibility controls.</w:t>
            </w:r>
          </w:p>
        </w:tc>
        <w:tc>
          <w:tcPr>
            <w:tcW w:type="dxa" w:w="2448"/>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Customer Ops + Data &amp; AI + CISO</w:t>
            </w:r>
          </w:p>
        </w:tc>
        <w:tc>
          <w:tcPr>
            <w:tcW w:type="dxa" w:w="1296"/>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Blocking for production</w:t>
            </w:r>
          </w:p>
        </w:tc>
      </w:tr>
      <w:tr>
        <w:tc>
          <w:tcPr>
            <w:tcW w:type="dxa" w:w="1080"/>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ETH-03</w:t>
            </w:r>
          </w:p>
        </w:tc>
        <w:tc>
          <w:tcPr>
            <w:tcW w:type="dxa" w:w="1584"/>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DuckDesign</w:t>
            </w:r>
          </w:p>
        </w:tc>
        <w:tc>
          <w:tcPr>
            <w:tcW w:type="dxa" w:w="4896"/>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Formalize engineering validation and provenance; test unsafe recommendation and automation-bias indicators.</w:t>
            </w:r>
          </w:p>
        </w:tc>
        <w:tc>
          <w:tcPr>
            <w:tcW w:type="dxa" w:w="2448"/>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Product &amp; Engineering + Product Safety</w:t>
            </w:r>
          </w:p>
        </w:tc>
        <w:tc>
          <w:tcPr>
            <w:tcW w:type="dxa" w:w="1296"/>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Before production expansion</w:t>
            </w:r>
          </w:p>
        </w:tc>
      </w:tr>
      <w:tr>
        <w:tc>
          <w:tcPr>
            <w:tcW w:type="dxa" w:w="1080"/>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ETH-04</w:t>
            </w:r>
          </w:p>
        </w:tc>
        <w:tc>
          <w:tcPr>
            <w:tcW w:type="dxa" w:w="1584"/>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WingInspect</w:t>
            </w:r>
          </w:p>
        </w:tc>
        <w:tc>
          <w:tcPr>
            <w:tcW w:type="dxa" w:w="4896"/>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Validate defect performance by class/line; preserve human final authority; prohibit worker-monitoring repurposing.</w:t>
            </w:r>
          </w:p>
        </w:tc>
        <w:tc>
          <w:tcPr>
            <w:tcW w:type="dxa" w:w="2448"/>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Manufacturing + Product Safety</w:t>
            </w:r>
          </w:p>
        </w:tc>
        <w:tc>
          <w:tcPr>
            <w:tcW w:type="dxa" w:w="1296"/>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Before expanded pilot</w:t>
            </w:r>
          </w:p>
        </w:tc>
      </w:tr>
      <w:tr>
        <w:tc>
          <w:tcPr>
            <w:tcW w:type="dxa" w:w="1080"/>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ETH-05</w:t>
            </w:r>
          </w:p>
        </w:tc>
        <w:tc>
          <w:tcPr>
            <w:tcW w:type="dxa" w:w="1584"/>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PondGPT</w:t>
            </w:r>
          </w:p>
        </w:tc>
        <w:tc>
          <w:tcPr>
            <w:tcW w:type="dxa" w:w="4896"/>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Verify permission-aware retrieval, DLP, restricted-source exclusions, anti-surveillance purpose limits and adversarial testing.</w:t>
            </w:r>
          </w:p>
        </w:tc>
        <w:tc>
          <w:tcPr>
            <w:tcW w:type="dxa" w:w="2448"/>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IT + CISO + DPO/CPO</w:t>
            </w:r>
          </w:p>
        </w:tc>
        <w:tc>
          <w:tcPr>
            <w:tcW w:type="dxa" w:w="1296"/>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Before corpus/action expansion</w:t>
            </w:r>
          </w:p>
        </w:tc>
      </w:tr>
      <w:tr>
        <w:tc>
          <w:tcPr>
            <w:tcW w:type="dxa" w:w="1080"/>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ETH-06</w:t>
            </w:r>
          </w:p>
        </w:tc>
        <w:tc>
          <w:tcPr>
            <w:tcW w:type="dxa" w:w="1584"/>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FeatherForecast</w:t>
            </w:r>
          </w:p>
        </w:tc>
        <w:tc>
          <w:tcPr>
            <w:tcW w:type="dxa" w:w="4896"/>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Maintain human planning authority; review supplier/workforce effects and evidence claimed waste benefits.</w:t>
            </w:r>
          </w:p>
        </w:tc>
        <w:tc>
          <w:tcPr>
            <w:tcW w:type="dxa" w:w="2448"/>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Supply Chain</w:t>
            </w:r>
          </w:p>
        </w:tc>
        <w:tc>
          <w:tcPr>
            <w:tcW w:type="dxa" w:w="1296"/>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Ongoing</w:t>
            </w:r>
          </w:p>
        </w:tc>
      </w:tr>
      <w:tr>
        <w:tc>
          <w:tcPr>
            <w:tcW w:type="dxa" w:w="1080"/>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ETH-07</w:t>
            </w:r>
          </w:p>
        </w:tc>
        <w:tc>
          <w:tcPr>
            <w:tcW w:type="dxa" w:w="1584"/>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AI-007</w:t>
            </w:r>
          </w:p>
        </w:tc>
        <w:tc>
          <w:tcPr>
            <w:tcW w:type="dxa" w:w="4896"/>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Contain, discover, provide approved alternatives and decompose material uses into separate governed records.</w:t>
            </w:r>
          </w:p>
        </w:tc>
        <w:tc>
          <w:tcPr>
            <w:tcW w:type="dxa" w:w="2448"/>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CISO + AI Governance + IT</w:t>
            </w:r>
          </w:p>
        </w:tc>
        <w:tc>
          <w:tcPr>
            <w:tcW w:type="dxa" w:w="1296"/>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Immediate</w:t>
            </w:r>
          </w:p>
        </w:tc>
      </w:tr>
      <w:tr>
        <w:tc>
          <w:tcPr>
            <w:tcW w:type="dxa" w:w="1080"/>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ETH-08</w:t>
            </w:r>
          </w:p>
        </w:tc>
        <w:tc>
          <w:tcPr>
            <w:tcW w:type="dxa" w:w="1584"/>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Portfolio</w:t>
            </w:r>
          </w:p>
        </w:tc>
        <w:tc>
          <w:tcPr>
            <w:tcW w:type="dxa" w:w="4896"/>
            <w:vAlign w:val="center"/>
            <w:tcMar>
              <w:top w:w="70" w:type="dxa"/>
              <w:start w:w="85" w:type="dxa"/>
              <w:bottom w:w="70" w:type="dxa"/>
              <w:end w:w="85" w:type="dxa"/>
            </w:tcMar>
            <w:shd w:fill="F4F6F7"/>
          </w:tcPr>
          <w:p>
            <w:pPr>
              <w:spacing w:after="0" w:before="0" w:line="228" w:lineRule="auto"/>
            </w:pPr>
            <w:r>
              <w:rPr>
                <w:rFonts w:ascii="Aptos" w:hAnsi="Aptos"/>
                <w:sz w:val="12"/>
              </w:rPr>
              <w:t>Add stakeholder-engagement evidence and ethical monitoring fields to QuackTrack/control records.</w:t>
            </w:r>
          </w:p>
        </w:tc>
        <w:tc>
          <w:tcPr>
            <w:tcW w:type="dxa" w:w="2448"/>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AI Governance Lead</w:t>
            </w:r>
          </w:p>
        </w:tc>
        <w:tc>
          <w:tcPr>
            <w:tcW w:type="dxa" w:w="1296"/>
            <w:vAlign w:val="center"/>
            <w:tcMar>
              <w:top w:w="70" w:type="dxa"/>
              <w:start w:w="85" w:type="dxa"/>
              <w:bottom w:w="70" w:type="dxa"/>
              <w:end w:w="85" w:type="dxa"/>
            </w:tcMar>
            <w:shd w:fill="F4F6F7"/>
          </w:tcPr>
          <w:p>
            <w:pPr>
              <w:spacing w:before="0" w:after="0" w:line="228" w:lineRule="auto"/>
            </w:pPr>
            <w:r>
              <w:rPr>
                <w:rFonts w:ascii="Aptos" w:hAnsi="Aptos"/>
                <w:sz w:val="12"/>
              </w:rPr>
            </w:r>
            <w:r>
              <w:rPr>
                <w:rFonts w:ascii="Aptos" w:hAnsi="Aptos"/>
                <w:b w:val="0"/>
                <w:color w:val="27343E"/>
                <w:sz w:val="12"/>
              </w:rPr>
              <w:t>Program action</w:t>
            </w:r>
          </w:p>
        </w:tc>
      </w:tr>
      <w:tr>
        <w:tc>
          <w:tcPr>
            <w:tcW w:type="dxa" w:w="1080"/>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ETH-09</w:t>
            </w:r>
          </w:p>
        </w:tc>
        <w:tc>
          <w:tcPr>
            <w:tcW w:type="dxa" w:w="1584"/>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Portfolio</w:t>
            </w:r>
          </w:p>
        </w:tc>
        <w:tc>
          <w:tcPr>
            <w:tcW w:type="dxa" w:w="4896"/>
            <w:vAlign w:val="center"/>
            <w:tcMar>
              <w:top w:w="70" w:type="dxa"/>
              <w:start w:w="85" w:type="dxa"/>
              <w:bottom w:w="70" w:type="dxa"/>
              <w:end w:w="85" w:type="dxa"/>
            </w:tcMar>
          </w:tcPr>
          <w:p>
            <w:pPr>
              <w:spacing w:after="0" w:before="0" w:line="228" w:lineRule="auto"/>
            </w:pPr>
            <w:r>
              <w:rPr>
                <w:rFonts w:ascii="Aptos" w:hAnsi="Aptos"/>
                <w:sz w:val="12"/>
              </w:rPr>
              <w:t>Request material third-party AI environmental/resource evidence and label unknowns.</w:t>
            </w:r>
          </w:p>
        </w:tc>
        <w:tc>
          <w:tcPr>
            <w:tcW w:type="dxa" w:w="2448"/>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Procurement + AI Governance</w:t>
            </w:r>
          </w:p>
        </w:tc>
        <w:tc>
          <w:tcPr>
            <w:tcW w:type="dxa" w:w="1296"/>
            <w:vAlign w:val="center"/>
            <w:tcMar>
              <w:top w:w="70" w:type="dxa"/>
              <w:start w:w="85" w:type="dxa"/>
              <w:bottom w:w="70" w:type="dxa"/>
              <w:end w:w="85" w:type="dxa"/>
            </w:tcMar>
          </w:tcPr>
          <w:p>
            <w:pPr>
              <w:spacing w:before="0" w:after="0" w:line="228" w:lineRule="auto"/>
            </w:pPr>
            <w:r>
              <w:rPr>
                <w:rFonts w:ascii="Aptos" w:hAnsi="Aptos"/>
                <w:sz w:val="12"/>
              </w:rPr>
            </w:r>
            <w:r>
              <w:rPr>
                <w:rFonts w:ascii="Aptos" w:hAnsi="Aptos"/>
                <w:b w:val="0"/>
                <w:color w:val="27343E"/>
                <w:sz w:val="12"/>
              </w:rPr>
              <w:t>Program action</w:t>
            </w:r>
          </w:p>
        </w:tc>
      </w:tr>
    </w:tbl>
    <w:p>
      <w:pPr>
        <w:spacing w:after="0"/>
      </w:pPr>
    </w:p>
    <w:p>
      <w:r>
        <w:br w:type="page"/>
      </w:r>
    </w:p>
    <w:p>
      <w:pPr>
        <w:pStyle w:val="Heading1"/>
      </w:pPr>
      <w:r>
        <w:t>17. Ethical Approval Decision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vAlign w:val="center"/>
            <w:tcMar>
              <w:top w:w="70" w:type="dxa"/>
              <w:start w:w="85" w:type="dxa"/>
              <w:bottom w:w="70" w:type="dxa"/>
              <w:end w:w="85" w:type="dxa"/>
            </w:tcMar>
            <w:shd w:fill="173B57"/>
          </w:tcPr>
          <w:p>
            <w:pPr>
              <w:spacing w:before="0" w:after="0"/>
            </w:pPr>
            <w:r/>
            <w:r>
              <w:rPr>
                <w:rFonts w:ascii="Aptos" w:hAnsi="Aptos"/>
                <w:b/>
                <w:color w:val="FFFFFF"/>
                <w:sz w:val="15"/>
              </w:rPr>
              <w:t>Ethical priority</w:t>
            </w:r>
          </w:p>
        </w:tc>
        <w:tc>
          <w:tcPr>
            <w:tcW w:type="dxa" w:w="5760"/>
            <w:vAlign w:val="center"/>
            <w:tcMar>
              <w:top w:w="70" w:type="dxa"/>
              <w:start w:w="85" w:type="dxa"/>
              <w:bottom w:w="70" w:type="dxa"/>
              <w:end w:w="85" w:type="dxa"/>
            </w:tcMar>
            <w:shd w:fill="173B57"/>
          </w:tcPr>
          <w:p>
            <w:pPr>
              <w:spacing w:before="0" w:after="0"/>
            </w:pPr>
            <w:r/>
            <w:r>
              <w:rPr>
                <w:rFonts w:ascii="Aptos" w:hAnsi="Aptos"/>
                <w:b/>
                <w:color w:val="FFFFFF"/>
                <w:sz w:val="15"/>
              </w:rPr>
              <w:t>Decision rule</w:t>
            </w:r>
          </w:p>
        </w:tc>
        <w:tc>
          <w:tcPr>
            <w:tcW w:type="dxa" w:w="1944"/>
            <w:vAlign w:val="center"/>
            <w:tcMar>
              <w:top w:w="70" w:type="dxa"/>
              <w:start w:w="85" w:type="dxa"/>
              <w:bottom w:w="70" w:type="dxa"/>
              <w:end w:w="85" w:type="dxa"/>
            </w:tcMar>
            <w:shd w:fill="173B57"/>
          </w:tcPr>
          <w:p>
            <w:pPr>
              <w:spacing w:before="0" w:after="0"/>
            </w:pPr>
            <w:r/>
            <w:r>
              <w:rPr>
                <w:rFonts w:ascii="Aptos" w:hAnsi="Aptos"/>
                <w:b/>
                <w:color w:val="FFFFFF"/>
                <w:sz w:val="15"/>
              </w:rPr>
              <w:t>Governance</w:t>
            </w:r>
          </w:p>
        </w:tc>
      </w:tr>
      <w:tr>
        <w:tc>
          <w:tcPr>
            <w:tcW w:type="dxa" w:w="1728"/>
            <w:vAlign w:val="center"/>
            <w:tcMar>
              <w:top w:w="70" w:type="dxa"/>
              <w:start w:w="85" w:type="dxa"/>
              <w:bottom w:w="70" w:type="dxa"/>
              <w:end w:w="85" w:type="dxa"/>
            </w:tcMar>
          </w:tcPr>
          <w:p>
            <w:pPr>
              <w:spacing w:before="0" w:after="0"/>
            </w:pPr>
            <w:r/>
            <w:r>
              <w:rPr>
                <w:rFonts w:ascii="Aptos" w:hAnsi="Aptos"/>
                <w:b w:val="0"/>
                <w:color w:val="27343E"/>
                <w:sz w:val="15"/>
              </w:rPr>
              <w:t>E1 — Limited</w:t>
            </w:r>
          </w:p>
        </w:tc>
        <w:tc>
          <w:tcPr>
            <w:tcW w:type="dxa" w:w="5760"/>
            <w:vAlign w:val="center"/>
            <w:tcMar>
              <w:top w:w="70" w:type="dxa"/>
              <w:start w:w="85" w:type="dxa"/>
              <w:bottom w:w="70" w:type="dxa"/>
              <w:end w:w="85" w:type="dxa"/>
            </w:tcMar>
          </w:tcPr>
          <w:p>
            <w:pPr>
              <w:spacing w:before="0" w:after="0"/>
            </w:pPr>
            <w:r/>
            <w:r>
              <w:rPr>
                <w:rFonts w:ascii="Aptos" w:hAnsi="Aptos"/>
                <w:b w:val="0"/>
                <w:color w:val="27343E"/>
                <w:sz w:val="15"/>
              </w:rPr>
              <w:t>Routine owner acceptance if other governance gates are satisfied.</w:t>
            </w:r>
          </w:p>
        </w:tc>
        <w:tc>
          <w:tcPr>
            <w:tcW w:type="dxa" w:w="1944"/>
            <w:vAlign w:val="center"/>
            <w:tcMar>
              <w:top w:w="70" w:type="dxa"/>
              <w:start w:w="85" w:type="dxa"/>
              <w:bottom w:w="70" w:type="dxa"/>
              <w:end w:w="85" w:type="dxa"/>
            </w:tcMar>
          </w:tcPr>
          <w:p>
            <w:pPr>
              <w:spacing w:before="0" w:after="0"/>
            </w:pPr>
            <w:r/>
            <w:r>
              <w:rPr>
                <w:rFonts w:ascii="Aptos" w:hAnsi="Aptos"/>
                <w:b w:val="0"/>
                <w:color w:val="27343E"/>
                <w:sz w:val="15"/>
              </w:rPr>
              <w:t>Standard monitoring.</w:t>
            </w:r>
          </w:p>
        </w:tc>
      </w:tr>
      <w:tr>
        <w:tc>
          <w:tcPr>
            <w:tcW w:type="dxa" w:w="1728"/>
            <w:vAlign w:val="center"/>
            <w:tcMar>
              <w:top w:w="70" w:type="dxa"/>
              <w:start w:w="85" w:type="dxa"/>
              <w:bottom w:w="70" w:type="dxa"/>
              <w:end w:w="85" w:type="dxa"/>
            </w:tcMar>
            <w:shd w:fill="F4F6F7"/>
          </w:tcPr>
          <w:p>
            <w:pPr>
              <w:spacing w:before="0" w:after="0"/>
            </w:pPr>
            <w:r/>
            <w:r>
              <w:rPr>
                <w:rFonts w:ascii="Aptos" w:hAnsi="Aptos"/>
                <w:b w:val="0"/>
                <w:color w:val="27343E"/>
                <w:sz w:val="15"/>
              </w:rPr>
              <w:t>E2 — Material</w:t>
            </w:r>
          </w:p>
        </w:tc>
        <w:tc>
          <w:tcPr>
            <w:tcW w:type="dxa" w:w="5760"/>
            <w:vAlign w:val="center"/>
            <w:tcMar>
              <w:top w:w="70" w:type="dxa"/>
              <w:start w:w="85" w:type="dxa"/>
              <w:bottom w:w="70" w:type="dxa"/>
              <w:end w:w="85" w:type="dxa"/>
            </w:tcMar>
            <w:shd w:fill="F4F6F7"/>
          </w:tcPr>
          <w:p>
            <w:pPr>
              <w:spacing w:before="0" w:after="0"/>
            </w:pPr>
            <w:r/>
            <w:r>
              <w:rPr>
                <w:rFonts w:ascii="Aptos" w:hAnsi="Aptos"/>
                <w:b w:val="0"/>
                <w:color w:val="27343E"/>
                <w:sz w:val="15"/>
              </w:rPr>
              <w:t>Owner + AI Governance review; document trade-offs and safeguards.</w:t>
            </w:r>
          </w:p>
        </w:tc>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5"/>
              </w:rPr>
              <w:t>Periodic review and stakeholder signals.</w:t>
            </w:r>
          </w:p>
        </w:tc>
      </w:tr>
      <w:tr>
        <w:tc>
          <w:tcPr>
            <w:tcW w:type="dxa" w:w="1728"/>
            <w:vAlign w:val="center"/>
            <w:tcMar>
              <w:top w:w="70" w:type="dxa"/>
              <w:start w:w="85" w:type="dxa"/>
              <w:bottom w:w="70" w:type="dxa"/>
              <w:end w:w="85" w:type="dxa"/>
            </w:tcMar>
          </w:tcPr>
          <w:p>
            <w:pPr>
              <w:spacing w:before="0" w:after="0"/>
            </w:pPr>
            <w:r/>
            <w:r>
              <w:rPr>
                <w:rFonts w:ascii="Aptos" w:hAnsi="Aptos"/>
                <w:b w:val="0"/>
                <w:color w:val="27343E"/>
                <w:sz w:val="15"/>
              </w:rPr>
              <w:t>E3 — Significant</w:t>
            </w:r>
          </w:p>
        </w:tc>
        <w:tc>
          <w:tcPr>
            <w:tcW w:type="dxa" w:w="5760"/>
            <w:vAlign w:val="center"/>
            <w:tcMar>
              <w:top w:w="70" w:type="dxa"/>
              <w:start w:w="85" w:type="dxa"/>
              <w:bottom w:w="70" w:type="dxa"/>
              <w:end w:w="85" w:type="dxa"/>
            </w:tcMar>
          </w:tcPr>
          <w:p>
            <w:pPr>
              <w:spacing w:before="0" w:after="0"/>
            </w:pPr>
            <w:r/>
            <w:r>
              <w:rPr>
                <w:rFonts w:ascii="Aptos" w:hAnsi="Aptos"/>
                <w:b w:val="0"/>
                <w:color w:val="27343E"/>
                <w:sz w:val="15"/>
              </w:rPr>
              <w:t>Enhanced specialist review; production only where blocking gaps are closed and evidence supports safeguards.</w:t>
            </w:r>
          </w:p>
        </w:tc>
        <w:tc>
          <w:tcPr>
            <w:tcW w:type="dxa" w:w="1944"/>
            <w:vAlign w:val="center"/>
            <w:tcMar>
              <w:top w:w="70" w:type="dxa"/>
              <w:start w:w="85" w:type="dxa"/>
              <w:bottom w:w="70" w:type="dxa"/>
              <w:end w:w="85" w:type="dxa"/>
            </w:tcMar>
          </w:tcPr>
          <w:p>
            <w:pPr>
              <w:spacing w:before="0" w:after="0"/>
            </w:pPr>
            <w:r/>
            <w:r>
              <w:rPr>
                <w:rFonts w:ascii="Aptos" w:hAnsi="Aptos"/>
                <w:b w:val="0"/>
                <w:color w:val="27343E"/>
                <w:sz w:val="15"/>
              </w:rPr>
              <w:t>AI Governance Committee where linked risk/gate requires it.</w:t>
            </w:r>
          </w:p>
        </w:tc>
      </w:tr>
      <w:tr>
        <w:tc>
          <w:tcPr>
            <w:tcW w:type="dxa" w:w="1728"/>
            <w:vAlign w:val="center"/>
            <w:tcMar>
              <w:top w:w="70" w:type="dxa"/>
              <w:start w:w="85" w:type="dxa"/>
              <w:bottom w:w="70" w:type="dxa"/>
              <w:end w:w="85" w:type="dxa"/>
            </w:tcMar>
            <w:shd w:fill="F4F6F7"/>
          </w:tcPr>
          <w:p>
            <w:pPr>
              <w:spacing w:before="0" w:after="0"/>
            </w:pPr>
            <w:r/>
            <w:r>
              <w:rPr>
                <w:rFonts w:ascii="Aptos" w:hAnsi="Aptos"/>
                <w:b w:val="0"/>
                <w:color w:val="27343E"/>
                <w:sz w:val="15"/>
              </w:rPr>
              <w:t>E4 — Severe</w:t>
            </w:r>
          </w:p>
        </w:tc>
        <w:tc>
          <w:tcPr>
            <w:tcW w:type="dxa" w:w="5760"/>
            <w:vAlign w:val="center"/>
            <w:tcMar>
              <w:top w:w="70" w:type="dxa"/>
              <w:start w:w="85" w:type="dxa"/>
              <w:bottom w:w="70" w:type="dxa"/>
              <w:end w:w="85" w:type="dxa"/>
            </w:tcMar>
            <w:shd w:fill="F4F6F7"/>
          </w:tcPr>
          <w:p>
            <w:pPr>
              <w:spacing w:before="0" w:after="0"/>
            </w:pPr>
            <w:r/>
            <w:r>
              <w:rPr>
                <w:rFonts w:ascii="Aptos" w:hAnsi="Aptos"/>
                <w:b w:val="0"/>
                <w:color w:val="27343E"/>
                <w:sz w:val="15"/>
              </w:rPr>
              <w:t>Do not deploy / contain current state. Redesign, treatment and re-assessment required.</w:t>
            </w:r>
          </w:p>
        </w:tc>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5"/>
              </w:rPr>
              <w:t>Executive/committee visibility; legal/specialist review as relevant.</w:t>
            </w:r>
          </w:p>
        </w:tc>
      </w:tr>
    </w:tbl>
    <w:p>
      <w:pPr>
        <w:spacing w:after="0"/>
      </w:pPr>
    </w:p>
    <w:tbl>
      <w:tblPr>
        <w:tblW w:type="auto" w:w="0"/>
        <w:jc w:val="center"/>
        <w:tblLook w:firstColumn="1" w:firstRow="1" w:lastColumn="0" w:lastRow="0" w:noHBand="0" w:noVBand="1" w:val="04A0"/>
      </w:tblPr>
      <w:tblGrid>
        <w:gridCol w:w="10224"/>
      </w:tblGrid>
      <w:tr>
        <w:tc>
          <w:tcPr>
            <w:tcW w:type="dxa" w:w="10224"/>
            <w:shd w:fill="F8E0E0"/>
            <w:tcMar>
              <w:top w:w="120" w:type="dxa"/>
              <w:start w:w="140" w:type="dxa"/>
              <w:bottom w:w="120" w:type="dxa"/>
              <w:end w:w="140" w:type="dxa"/>
            </w:tcMar>
            <w:tcBorders>
              <w:left w:val="single" w:sz="18" w:color="2D6F6D"/>
            </w:tcBorders>
          </w:tcPr>
          <w:p>
            <w:pPr>
              <w:spacing w:after="60"/>
            </w:pPr>
            <w:r>
              <w:rPr>
                <w:b/>
                <w:color w:val="173B57"/>
                <w:sz w:val="20"/>
              </w:rPr>
              <w:t>Non-offset rule</w:t>
            </w:r>
          </w:p>
          <w:p>
            <w:pPr>
              <w:spacing w:after="0"/>
            </w:pPr>
            <w:r>
              <w:rPr>
                <w:color w:val="27343E"/>
                <w:sz w:val="18"/>
              </w:rPr>
              <w:t>A claimed benefit does not cancel an adverse ethical impact. Faster hiring does not offset discrimination; lower inspection time does not offset safety failure; productivity does not offset covert surveillance. Benefits and harms are evidenced separately, and severe harm must be treated on its own merits.</w:t>
            </w:r>
          </w:p>
        </w:tc>
      </w:tr>
    </w:tbl>
    <w:p>
      <w:pPr>
        <w:spacing w:after="0"/>
      </w:pPr>
    </w:p>
    <w:p>
      <w:pPr>
        <w:pStyle w:val="Heading1"/>
      </w:pPr>
      <w:r>
        <w:t>18. Portfolio Ethical Monitoring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tcMar>
              <w:top w:w="70" w:type="dxa"/>
              <w:start w:w="85" w:type="dxa"/>
              <w:bottom w:w="70" w:type="dxa"/>
              <w:end w:w="85" w:type="dxa"/>
            </w:tcMar>
            <w:shd w:fill="173B57"/>
          </w:tcPr>
          <w:p>
            <w:pPr>
              <w:spacing w:before="0" w:after="0"/>
            </w:pPr>
            <w:r/>
            <w:r>
              <w:rPr>
                <w:rFonts w:ascii="Aptos" w:hAnsi="Aptos"/>
                <w:b/>
                <w:color w:val="FFFFFF"/>
                <w:sz w:val="15"/>
              </w:rPr>
              <w:t>Dimension</w:t>
            </w:r>
          </w:p>
        </w:tc>
        <w:tc>
          <w:tcPr>
            <w:tcW w:type="dxa" w:w="5688"/>
            <w:vAlign w:val="center"/>
            <w:tcMar>
              <w:top w:w="70" w:type="dxa"/>
              <w:start w:w="85" w:type="dxa"/>
              <w:bottom w:w="70" w:type="dxa"/>
              <w:end w:w="85" w:type="dxa"/>
            </w:tcMar>
            <w:shd w:fill="173B57"/>
          </w:tcPr>
          <w:p>
            <w:pPr>
              <w:spacing w:before="0" w:after="0"/>
            </w:pPr>
            <w:r/>
            <w:r>
              <w:rPr>
                <w:rFonts w:ascii="Aptos" w:hAnsi="Aptos"/>
                <w:b/>
                <w:color w:val="FFFFFF"/>
                <w:sz w:val="15"/>
              </w:rPr>
              <w:t>Portfolio indicators</w:t>
            </w:r>
          </w:p>
        </w:tc>
        <w:tc>
          <w:tcPr>
            <w:tcW w:type="dxa" w:w="1440"/>
            <w:vAlign w:val="center"/>
            <w:tcMar>
              <w:top w:w="70" w:type="dxa"/>
              <w:start w:w="85" w:type="dxa"/>
              <w:bottom w:w="70" w:type="dxa"/>
              <w:end w:w="85" w:type="dxa"/>
            </w:tcMar>
            <w:shd w:fill="173B57"/>
          </w:tcPr>
          <w:p>
            <w:pPr>
              <w:spacing w:before="0" w:after="0"/>
            </w:pPr>
            <w:r/>
            <w:r>
              <w:rPr>
                <w:rFonts w:ascii="Aptos" w:hAnsi="Aptos"/>
                <w:b/>
                <w:color w:val="FFFFFF"/>
                <w:sz w:val="15"/>
              </w:rPr>
              <w:t>Owner</w:t>
            </w:r>
          </w:p>
        </w:tc>
      </w:tr>
      <w:tr>
        <w:tc>
          <w:tcPr>
            <w:tcW w:type="dxa" w:w="2304"/>
            <w:vAlign w:val="center"/>
            <w:tcMar>
              <w:top w:w="70" w:type="dxa"/>
              <w:start w:w="85" w:type="dxa"/>
              <w:bottom w:w="70" w:type="dxa"/>
              <w:end w:w="85" w:type="dxa"/>
            </w:tcMar>
          </w:tcPr>
          <w:p>
            <w:pPr>
              <w:spacing w:before="0" w:after="0"/>
            </w:pPr>
            <w:r/>
            <w:r>
              <w:rPr>
                <w:rFonts w:ascii="Aptos" w:hAnsi="Aptos"/>
                <w:b w:val="0"/>
                <w:color w:val="27343E"/>
                <w:sz w:val="15"/>
              </w:rPr>
              <w:t>Agency / oversight</w:t>
            </w:r>
          </w:p>
        </w:tc>
        <w:tc>
          <w:tcPr>
            <w:tcW w:type="dxa" w:w="5688"/>
            <w:vAlign w:val="center"/>
            <w:tcMar>
              <w:top w:w="70" w:type="dxa"/>
              <w:start w:w="85" w:type="dxa"/>
              <w:bottom w:w="70" w:type="dxa"/>
              <w:end w:w="85" w:type="dxa"/>
            </w:tcMar>
          </w:tcPr>
          <w:p>
            <w:pPr>
              <w:spacing w:before="0" w:after="0"/>
            </w:pPr>
            <w:r/>
            <w:r>
              <w:rPr>
                <w:rFonts w:ascii="Aptos" w:hAnsi="Aptos"/>
                <w:b w:val="0"/>
                <w:color w:val="27343E"/>
                <w:sz w:val="15"/>
              </w:rPr>
              <w:t>Override/disagreement rate; human escalation; stop-use events; reviewer burden</w:t>
            </w:r>
          </w:p>
        </w:tc>
        <w:tc>
          <w:tcPr>
            <w:tcW w:type="dxa" w:w="1440"/>
            <w:vAlign w:val="center"/>
            <w:tcMar>
              <w:top w:w="70" w:type="dxa"/>
              <w:start w:w="85" w:type="dxa"/>
              <w:bottom w:w="70" w:type="dxa"/>
              <w:end w:w="85" w:type="dxa"/>
            </w:tcMar>
          </w:tcPr>
          <w:p>
            <w:pPr>
              <w:spacing w:before="0" w:after="0"/>
            </w:pPr>
            <w:r/>
            <w:r>
              <w:rPr>
                <w:rFonts w:ascii="Aptos" w:hAnsi="Aptos"/>
                <w:b w:val="0"/>
                <w:color w:val="27343E"/>
                <w:sz w:val="15"/>
              </w:rPr>
              <w:t>System owner + AI Governance</w:t>
            </w:r>
          </w:p>
        </w:tc>
      </w:tr>
      <w:tr>
        <w:tc>
          <w:tcPr>
            <w:tcW w:type="dxa" w:w="2304"/>
            <w:vAlign w:val="center"/>
            <w:tcMar>
              <w:top w:w="70" w:type="dxa"/>
              <w:start w:w="85" w:type="dxa"/>
              <w:bottom w:w="70" w:type="dxa"/>
              <w:end w:w="85" w:type="dxa"/>
            </w:tcMar>
            <w:shd w:fill="F4F6F7"/>
          </w:tcPr>
          <w:p>
            <w:pPr>
              <w:spacing w:before="0" w:after="0"/>
            </w:pPr>
            <w:r/>
            <w:r>
              <w:rPr>
                <w:rFonts w:ascii="Aptos" w:hAnsi="Aptos"/>
                <w:b w:val="0"/>
                <w:color w:val="27343E"/>
                <w:sz w:val="15"/>
              </w:rPr>
              <w:t>Fairness / inclusion</w:t>
            </w:r>
          </w:p>
        </w:tc>
        <w:tc>
          <w:tcPr>
            <w:tcW w:type="dxa" w:w="5688"/>
            <w:vAlign w:val="center"/>
            <w:tcMar>
              <w:top w:w="70" w:type="dxa"/>
              <w:start w:w="85" w:type="dxa"/>
              <w:bottom w:w="70" w:type="dxa"/>
              <w:end w:w="85" w:type="dxa"/>
            </w:tcMar>
            <w:shd w:fill="F4F6F7"/>
          </w:tcPr>
          <w:p>
            <w:pPr>
              <w:spacing w:before="0" w:after="0"/>
            </w:pPr>
            <w:r/>
            <w:r>
              <w:rPr>
                <w:rFonts w:ascii="Aptos" w:hAnsi="Aptos"/>
                <w:b w:val="0"/>
                <w:color w:val="27343E"/>
                <w:sz w:val="15"/>
              </w:rPr>
              <w:t>Outcome differences, accessibility failures, complaints/challenges, excluded user groups</w:t>
            </w:r>
          </w:p>
        </w:tc>
        <w:tc>
          <w:tcPr>
            <w:tcW w:type="dxa" w:w="1440"/>
            <w:vAlign w:val="center"/>
            <w:tcMar>
              <w:top w:w="70" w:type="dxa"/>
              <w:start w:w="85" w:type="dxa"/>
              <w:bottom w:w="70" w:type="dxa"/>
              <w:end w:w="85" w:type="dxa"/>
            </w:tcMar>
            <w:shd w:fill="F4F6F7"/>
          </w:tcPr>
          <w:p>
            <w:pPr>
              <w:spacing w:before="0" w:after="0"/>
            </w:pPr>
            <w:r/>
            <w:r>
              <w:rPr>
                <w:rFonts w:ascii="Aptos" w:hAnsi="Aptos"/>
                <w:b w:val="0"/>
                <w:color w:val="27343E"/>
                <w:sz w:val="15"/>
              </w:rPr>
              <w:t>HR / Business Owner + Legal/DPO as relevant</w:t>
            </w:r>
          </w:p>
        </w:tc>
      </w:tr>
      <w:tr>
        <w:tc>
          <w:tcPr>
            <w:tcW w:type="dxa" w:w="2304"/>
            <w:vAlign w:val="center"/>
            <w:tcMar>
              <w:top w:w="70" w:type="dxa"/>
              <w:start w:w="85" w:type="dxa"/>
              <w:bottom w:w="70" w:type="dxa"/>
              <w:end w:w="85" w:type="dxa"/>
            </w:tcMar>
          </w:tcPr>
          <w:p>
            <w:pPr>
              <w:spacing w:before="0" w:after="0"/>
            </w:pPr>
            <w:r/>
            <w:r>
              <w:rPr>
                <w:rFonts w:ascii="Aptos" w:hAnsi="Aptos"/>
                <w:b w:val="0"/>
                <w:color w:val="27343E"/>
                <w:sz w:val="15"/>
              </w:rPr>
              <w:t>Privacy / dignity</w:t>
            </w:r>
          </w:p>
        </w:tc>
        <w:tc>
          <w:tcPr>
            <w:tcW w:type="dxa" w:w="5688"/>
            <w:vAlign w:val="center"/>
            <w:tcMar>
              <w:top w:w="70" w:type="dxa"/>
              <w:start w:w="85" w:type="dxa"/>
              <w:bottom w:w="70" w:type="dxa"/>
              <w:end w:w="85" w:type="dxa"/>
            </w:tcMar>
          </w:tcPr>
          <w:p>
            <w:pPr>
              <w:spacing w:before="0" w:after="0"/>
            </w:pPr>
            <w:r/>
            <w:r>
              <w:rPr>
                <w:rFonts w:ascii="Aptos" w:hAnsi="Aptos"/>
                <w:b w:val="0"/>
                <w:color w:val="27343E"/>
                <w:sz w:val="15"/>
              </w:rPr>
              <w:t>Sensitive-data events, unauthorized retrieval, purpose exceptions, surveillance complaints</w:t>
            </w:r>
          </w:p>
        </w:tc>
        <w:tc>
          <w:tcPr>
            <w:tcW w:type="dxa" w:w="1440"/>
            <w:vAlign w:val="center"/>
            <w:tcMar>
              <w:top w:w="70" w:type="dxa"/>
              <w:start w:w="85" w:type="dxa"/>
              <w:bottom w:w="70" w:type="dxa"/>
              <w:end w:w="85" w:type="dxa"/>
            </w:tcMar>
          </w:tcPr>
          <w:p>
            <w:pPr>
              <w:spacing w:before="0" w:after="0"/>
            </w:pPr>
            <w:r/>
            <w:r>
              <w:rPr>
                <w:rFonts w:ascii="Aptos" w:hAnsi="Aptos"/>
                <w:b w:val="0"/>
                <w:color w:val="27343E"/>
                <w:sz w:val="15"/>
              </w:rPr>
              <w:t>DPO + CISO</w:t>
            </w:r>
          </w:p>
        </w:tc>
      </w:tr>
      <w:tr>
        <w:tc>
          <w:tcPr>
            <w:tcW w:type="dxa" w:w="2304"/>
            <w:vAlign w:val="center"/>
            <w:tcMar>
              <w:top w:w="70" w:type="dxa"/>
              <w:start w:w="85" w:type="dxa"/>
              <w:bottom w:w="70" w:type="dxa"/>
              <w:end w:w="85" w:type="dxa"/>
            </w:tcMar>
            <w:shd w:fill="F4F6F7"/>
          </w:tcPr>
          <w:p>
            <w:pPr>
              <w:spacing w:before="0" w:after="0"/>
            </w:pPr>
            <w:r/>
            <w:r>
              <w:rPr>
                <w:rFonts w:ascii="Aptos" w:hAnsi="Aptos"/>
                <w:b w:val="0"/>
                <w:color w:val="27343E"/>
                <w:sz w:val="15"/>
              </w:rPr>
              <w:t>Transparency / contestability</w:t>
            </w:r>
          </w:p>
        </w:tc>
        <w:tc>
          <w:tcPr>
            <w:tcW w:type="dxa" w:w="5688"/>
            <w:vAlign w:val="center"/>
            <w:tcMar>
              <w:top w:w="70" w:type="dxa"/>
              <w:start w:w="85" w:type="dxa"/>
              <w:bottom w:w="70" w:type="dxa"/>
              <w:end w:w="85" w:type="dxa"/>
            </w:tcMar>
            <w:shd w:fill="F4F6F7"/>
          </w:tcPr>
          <w:p>
            <w:pPr>
              <w:spacing w:before="0" w:after="0"/>
            </w:pPr>
            <w:r/>
            <w:r>
              <w:rPr>
                <w:rFonts w:ascii="Aptos" w:hAnsi="Aptos"/>
                <w:b w:val="0"/>
                <w:color w:val="27343E"/>
                <w:sz w:val="15"/>
              </w:rPr>
              <w:t>AI disclosure effectiveness, explanation requests, challenge outcomes, human-channel availability</w:t>
            </w:r>
          </w:p>
        </w:tc>
        <w:tc>
          <w:tcPr>
            <w:tcW w:type="dxa" w:w="1440"/>
            <w:vAlign w:val="center"/>
            <w:tcMar>
              <w:top w:w="70" w:type="dxa"/>
              <w:start w:w="85" w:type="dxa"/>
              <w:bottom w:w="70" w:type="dxa"/>
              <w:end w:w="85" w:type="dxa"/>
            </w:tcMar>
            <w:shd w:fill="F4F6F7"/>
          </w:tcPr>
          <w:p>
            <w:pPr>
              <w:spacing w:before="0" w:after="0"/>
            </w:pPr>
            <w:r/>
            <w:r>
              <w:rPr>
                <w:rFonts w:ascii="Aptos" w:hAnsi="Aptos"/>
                <w:b w:val="0"/>
                <w:color w:val="27343E"/>
                <w:sz w:val="15"/>
              </w:rPr>
              <w:t>Business Owner</w:t>
            </w:r>
          </w:p>
        </w:tc>
      </w:tr>
      <w:tr>
        <w:tc>
          <w:tcPr>
            <w:tcW w:type="dxa" w:w="2304"/>
            <w:vAlign w:val="center"/>
            <w:tcMar>
              <w:top w:w="70" w:type="dxa"/>
              <w:start w:w="85" w:type="dxa"/>
              <w:bottom w:w="70" w:type="dxa"/>
              <w:end w:w="85" w:type="dxa"/>
            </w:tcMar>
          </w:tcPr>
          <w:p>
            <w:pPr>
              <w:spacing w:before="0" w:after="0"/>
            </w:pPr>
            <w:r/>
            <w:r>
              <w:rPr>
                <w:rFonts w:ascii="Aptos" w:hAnsi="Aptos"/>
                <w:b w:val="0"/>
                <w:color w:val="27343E"/>
                <w:sz w:val="15"/>
              </w:rPr>
              <w:t>Safety / robustness</w:t>
            </w:r>
          </w:p>
        </w:tc>
        <w:tc>
          <w:tcPr>
            <w:tcW w:type="dxa" w:w="5688"/>
            <w:vAlign w:val="center"/>
            <w:tcMar>
              <w:top w:w="70" w:type="dxa"/>
              <w:start w:w="85" w:type="dxa"/>
              <w:bottom w:w="70" w:type="dxa"/>
              <w:end w:w="85" w:type="dxa"/>
            </w:tcMar>
          </w:tcPr>
          <w:p>
            <w:pPr>
              <w:spacing w:before="0" w:after="0"/>
            </w:pPr>
            <w:r/>
            <w:r>
              <w:rPr>
                <w:rFonts w:ascii="Aptos" w:hAnsi="Aptos"/>
                <w:b w:val="0"/>
                <w:color w:val="27343E"/>
                <w:sz w:val="15"/>
              </w:rPr>
              <w:t>Harmful outputs, defect escapes, unsafe recommendations, incidents/near misses</w:t>
            </w:r>
          </w:p>
        </w:tc>
        <w:tc>
          <w:tcPr>
            <w:tcW w:type="dxa" w:w="1440"/>
            <w:vAlign w:val="center"/>
            <w:tcMar>
              <w:top w:w="70" w:type="dxa"/>
              <w:start w:w="85" w:type="dxa"/>
              <w:bottom w:w="70" w:type="dxa"/>
              <w:end w:w="85" w:type="dxa"/>
            </w:tcMar>
          </w:tcPr>
          <w:p>
            <w:pPr>
              <w:spacing w:before="0" w:after="0"/>
            </w:pPr>
            <w:r/>
            <w:r>
              <w:rPr>
                <w:rFonts w:ascii="Aptos" w:hAnsi="Aptos"/>
                <w:b w:val="0"/>
                <w:color w:val="27343E"/>
                <w:sz w:val="15"/>
              </w:rPr>
              <w:t>CISO / Product Safety / Business Owner</w:t>
            </w:r>
          </w:p>
        </w:tc>
      </w:tr>
      <w:tr>
        <w:tc>
          <w:tcPr>
            <w:tcW w:type="dxa" w:w="2304"/>
            <w:vAlign w:val="center"/>
            <w:tcMar>
              <w:top w:w="70" w:type="dxa"/>
              <w:start w:w="85" w:type="dxa"/>
              <w:bottom w:w="70" w:type="dxa"/>
              <w:end w:w="85" w:type="dxa"/>
            </w:tcMar>
            <w:shd w:fill="F4F6F7"/>
          </w:tcPr>
          <w:p>
            <w:pPr>
              <w:spacing w:before="0" w:after="0"/>
            </w:pPr>
            <w:r/>
            <w:r>
              <w:rPr>
                <w:rFonts w:ascii="Aptos" w:hAnsi="Aptos"/>
                <w:b w:val="0"/>
                <w:color w:val="27343E"/>
                <w:sz w:val="15"/>
              </w:rPr>
              <w:t>Accountability</w:t>
            </w:r>
          </w:p>
        </w:tc>
        <w:tc>
          <w:tcPr>
            <w:tcW w:type="dxa" w:w="5688"/>
            <w:vAlign w:val="center"/>
            <w:tcMar>
              <w:top w:w="70" w:type="dxa"/>
              <w:start w:w="85" w:type="dxa"/>
              <w:bottom w:w="70" w:type="dxa"/>
              <w:end w:w="85" w:type="dxa"/>
            </w:tcMar>
            <w:shd w:fill="F4F6F7"/>
          </w:tcPr>
          <w:p>
            <w:pPr>
              <w:spacing w:before="0" w:after="0"/>
            </w:pPr>
            <w:r/>
            <w:r>
              <w:rPr>
                <w:rFonts w:ascii="Aptos" w:hAnsi="Aptos"/>
                <w:b w:val="0"/>
                <w:color w:val="27343E"/>
                <w:sz w:val="15"/>
              </w:rPr>
              <w:t>Unowned AI, overdue assessments, evidence gaps, vendor-change notices, unresolved actions</w:t>
            </w:r>
          </w:p>
        </w:tc>
        <w:tc>
          <w:tcPr>
            <w:tcW w:type="dxa" w:w="1440"/>
            <w:vAlign w:val="center"/>
            <w:tcMar>
              <w:top w:w="70" w:type="dxa"/>
              <w:start w:w="85" w:type="dxa"/>
              <w:bottom w:w="70" w:type="dxa"/>
              <w:end w:w="85" w:type="dxa"/>
            </w:tcMar>
            <w:shd w:fill="F4F6F7"/>
          </w:tcPr>
          <w:p>
            <w:pPr>
              <w:spacing w:before="0" w:after="0"/>
            </w:pPr>
            <w:r/>
            <w:r>
              <w:rPr>
                <w:rFonts w:ascii="Aptos" w:hAnsi="Aptos"/>
                <w:b w:val="0"/>
                <w:color w:val="27343E"/>
                <w:sz w:val="15"/>
              </w:rPr>
              <w:t>AI Governance + Procurement</w:t>
            </w:r>
          </w:p>
        </w:tc>
      </w:tr>
      <w:tr>
        <w:tc>
          <w:tcPr>
            <w:tcW w:type="dxa" w:w="2304"/>
            <w:vAlign w:val="center"/>
            <w:tcMar>
              <w:top w:w="70" w:type="dxa"/>
              <w:start w:w="85" w:type="dxa"/>
              <w:bottom w:w="70" w:type="dxa"/>
              <w:end w:w="85" w:type="dxa"/>
            </w:tcMar>
          </w:tcPr>
          <w:p>
            <w:pPr>
              <w:spacing w:before="0" w:after="0"/>
            </w:pPr>
            <w:r/>
            <w:r>
              <w:rPr>
                <w:rFonts w:ascii="Aptos" w:hAnsi="Aptos"/>
                <w:b w:val="0"/>
                <w:color w:val="27343E"/>
                <w:sz w:val="15"/>
              </w:rPr>
              <w:t>Well-being / workforce</w:t>
            </w:r>
          </w:p>
        </w:tc>
        <w:tc>
          <w:tcPr>
            <w:tcW w:type="dxa" w:w="5688"/>
            <w:vAlign w:val="center"/>
            <w:tcMar>
              <w:top w:w="70" w:type="dxa"/>
              <w:start w:w="85" w:type="dxa"/>
              <w:bottom w:w="70" w:type="dxa"/>
              <w:end w:w="85" w:type="dxa"/>
            </w:tcMar>
          </w:tcPr>
          <w:p>
            <w:pPr>
              <w:spacing w:before="0" w:after="0"/>
            </w:pPr>
            <w:r/>
            <w:r>
              <w:rPr>
                <w:rFonts w:ascii="Aptos" w:hAnsi="Aptos"/>
                <w:b w:val="0"/>
                <w:color w:val="27343E"/>
                <w:sz w:val="15"/>
              </w:rPr>
              <w:t>Workload, deskilling, user trust, shadow-AI workarounds, benefit distribution</w:t>
            </w:r>
          </w:p>
        </w:tc>
        <w:tc>
          <w:tcPr>
            <w:tcW w:type="dxa" w:w="1440"/>
            <w:vAlign w:val="center"/>
            <w:tcMar>
              <w:top w:w="70" w:type="dxa"/>
              <w:start w:w="85" w:type="dxa"/>
              <w:bottom w:w="70" w:type="dxa"/>
              <w:end w:w="85" w:type="dxa"/>
            </w:tcMar>
          </w:tcPr>
          <w:p>
            <w:pPr>
              <w:spacing w:before="0" w:after="0"/>
            </w:pPr>
            <w:r/>
            <w:r>
              <w:rPr>
                <w:rFonts w:ascii="Aptos" w:hAnsi="Aptos"/>
                <w:b w:val="0"/>
                <w:color w:val="27343E"/>
                <w:sz w:val="15"/>
              </w:rPr>
              <w:t>CPO + Business Owners</w:t>
            </w:r>
          </w:p>
        </w:tc>
      </w:tr>
      <w:tr>
        <w:tc>
          <w:tcPr>
            <w:tcW w:type="dxa" w:w="2304"/>
            <w:vAlign w:val="center"/>
            <w:tcMar>
              <w:top w:w="70" w:type="dxa"/>
              <w:start w:w="85" w:type="dxa"/>
              <w:bottom w:w="70" w:type="dxa"/>
              <w:end w:w="85" w:type="dxa"/>
            </w:tcMar>
            <w:shd w:fill="F4F6F7"/>
          </w:tcPr>
          <w:p>
            <w:pPr>
              <w:spacing w:before="0" w:after="0"/>
            </w:pPr>
            <w:r/>
            <w:r>
              <w:rPr>
                <w:rFonts w:ascii="Aptos" w:hAnsi="Aptos"/>
                <w:b w:val="0"/>
                <w:color w:val="27343E"/>
                <w:sz w:val="15"/>
              </w:rPr>
              <w:t>Environmental</w:t>
            </w:r>
          </w:p>
        </w:tc>
        <w:tc>
          <w:tcPr>
            <w:tcW w:type="dxa" w:w="5688"/>
            <w:vAlign w:val="center"/>
            <w:tcMar>
              <w:top w:w="70" w:type="dxa"/>
              <w:start w:w="85" w:type="dxa"/>
              <w:bottom w:w="70" w:type="dxa"/>
              <w:end w:w="85" w:type="dxa"/>
            </w:tcMar>
            <w:shd w:fill="F4F6F7"/>
          </w:tcPr>
          <w:p>
            <w:pPr>
              <w:spacing w:before="0" w:after="0"/>
            </w:pPr>
            <w:r/>
            <w:r>
              <w:rPr>
                <w:rFonts w:ascii="Aptos" w:hAnsi="Aptos"/>
                <w:b w:val="0"/>
                <w:color w:val="27343E"/>
                <w:sz w:val="15"/>
              </w:rPr>
              <w:t>Provider energy/resource disclosures where material; waste/rework/obsolescence indicators</w:t>
            </w:r>
          </w:p>
        </w:tc>
        <w:tc>
          <w:tcPr>
            <w:tcW w:type="dxa" w:w="1440"/>
            <w:vAlign w:val="center"/>
            <w:tcMar>
              <w:top w:w="70" w:type="dxa"/>
              <w:start w:w="85" w:type="dxa"/>
              <w:bottom w:w="70" w:type="dxa"/>
              <w:end w:w="85" w:type="dxa"/>
            </w:tcMar>
            <w:shd w:fill="F4F6F7"/>
          </w:tcPr>
          <w:p>
            <w:pPr>
              <w:spacing w:before="0" w:after="0"/>
            </w:pPr>
            <w:r/>
            <w:r>
              <w:rPr>
                <w:rFonts w:ascii="Aptos" w:hAnsi="Aptos"/>
                <w:b w:val="0"/>
                <w:color w:val="27343E"/>
                <w:sz w:val="15"/>
              </w:rPr>
              <w:t>Procurement + Operations</w:t>
            </w:r>
          </w:p>
        </w:tc>
      </w:tr>
    </w:tbl>
    <w:p>
      <w:pPr>
        <w:spacing w:after="0"/>
      </w:pPr>
    </w:p>
    <w:p>
      <w:pPr>
        <w:pStyle w:val="Heading2"/>
      </w:pPr>
      <w:r>
        <w:t>18.1 Reassessment triggers</w:t>
      </w:r>
    </w:p>
    <w:p>
      <w:pPr>
        <w:pStyle w:val="ListBullet"/>
        <w:spacing w:after="50"/>
      </w:pPr>
      <w:r>
        <w:t>Change in intended purpose, autonomy or formal decision authority.</w:t>
      </w:r>
    </w:p>
    <w:p>
      <w:pPr>
        <w:pStyle w:val="ListBullet"/>
        <w:spacing w:after="50"/>
      </w:pPr>
      <w:r>
        <w:t>New model/provider/version or material configuration change.</w:t>
      </w:r>
    </w:p>
    <w:p>
      <w:pPr>
        <w:pStyle w:val="ListBullet"/>
        <w:spacing w:after="50"/>
      </w:pPr>
      <w:r>
        <w:t>New data categories, sensitive sources, features, RAG repositories, connectors or permissions.</w:t>
      </w:r>
    </w:p>
    <w:p>
      <w:pPr>
        <w:pStyle w:val="ListBullet"/>
        <w:spacing w:after="50"/>
      </w:pPr>
      <w:r>
        <w:t>Expansion to new users, affected groups, countries, languages or product lines.</w:t>
      </w:r>
    </w:p>
    <w:p>
      <w:pPr>
        <w:pStyle w:val="ListBullet"/>
        <w:spacing w:after="50"/>
      </w:pPr>
      <w:r>
        <w:t>Material incident, near miss, complaint, whistleblowing report, rights challenge or evidence of discriminatory outcome.</w:t>
      </w:r>
    </w:p>
    <w:p>
      <w:pPr>
        <w:pStyle w:val="ListBullet"/>
        <w:spacing w:after="50"/>
      </w:pPr>
      <w:r>
        <w:t>Drift, error-distribution change, performance threshold breach or control failure.</w:t>
      </w:r>
    </w:p>
    <w:p>
      <w:pPr>
        <w:pStyle w:val="ListBullet"/>
        <w:spacing w:after="50"/>
      </w:pPr>
      <w:r>
        <w:t>Change in legal/regulatory context or internal risk appetite.</w:t>
      </w:r>
    </w:p>
    <w:p>
      <w:pPr>
        <w:pStyle w:val="ListBullet"/>
        <w:spacing w:after="50"/>
      </w:pPr>
      <w:r>
        <w:t>Evidence that a mitigation creates a new burden, exclusion, workaround or ethical harm.</w:t>
      </w:r>
    </w:p>
    <w:p>
      <w:pPr>
        <w:pStyle w:val="Heading1"/>
      </w:pPr>
      <w:r>
        <w:t>19. Minimum Ethical Evidence Pack</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vAlign w:val="center"/>
            <w:tcMar>
              <w:top w:w="70" w:type="dxa"/>
              <w:start w:w="85" w:type="dxa"/>
              <w:bottom w:w="70" w:type="dxa"/>
              <w:end w:w="85" w:type="dxa"/>
            </w:tcMar>
            <w:shd w:fill="173B57"/>
          </w:tcPr>
          <w:p>
            <w:pPr>
              <w:spacing w:before="0" w:after="0"/>
            </w:pPr>
            <w:r/>
            <w:r>
              <w:rPr>
                <w:rFonts w:ascii="Aptos" w:hAnsi="Aptos"/>
                <w:b/>
                <w:color w:val="FFFFFF"/>
                <w:sz w:val="16"/>
              </w:rPr>
              <w:t>Evidence ID</w:t>
            </w:r>
          </w:p>
        </w:tc>
        <w:tc>
          <w:tcPr>
            <w:tcW w:type="dxa" w:w="7488"/>
            <w:vAlign w:val="center"/>
            <w:tcMar>
              <w:top w:w="70" w:type="dxa"/>
              <w:start w:w="85" w:type="dxa"/>
              <w:bottom w:w="70" w:type="dxa"/>
              <w:end w:w="85" w:type="dxa"/>
            </w:tcMar>
            <w:shd w:fill="173B57"/>
          </w:tcPr>
          <w:p>
            <w:pPr>
              <w:spacing w:before="0" w:after="0"/>
            </w:pPr>
            <w:r/>
            <w:r>
              <w:rPr>
                <w:rFonts w:ascii="Aptos" w:hAnsi="Aptos"/>
                <w:b/>
                <w:color w:val="FFFFFF"/>
                <w:sz w:val="16"/>
              </w:rPr>
              <w:t>Minimum record</w:t>
            </w:r>
          </w:p>
        </w:tc>
      </w:tr>
      <w:tr>
        <w:tc>
          <w:tcPr>
            <w:tcW w:type="dxa" w:w="1872"/>
            <w:vAlign w:val="center"/>
            <w:tcMar>
              <w:top w:w="70" w:type="dxa"/>
              <w:start w:w="85" w:type="dxa"/>
              <w:bottom w:w="70" w:type="dxa"/>
              <w:end w:w="85" w:type="dxa"/>
            </w:tcMar>
          </w:tcPr>
          <w:p>
            <w:pPr>
              <w:spacing w:before="0" w:after="0"/>
            </w:pPr>
            <w:r/>
            <w:r>
              <w:rPr>
                <w:rFonts w:ascii="Aptos" w:hAnsi="Aptos"/>
                <w:b w:val="0"/>
                <w:color w:val="27343E"/>
                <w:sz w:val="16"/>
              </w:rPr>
              <w:t>ETH-EV-01</w:t>
            </w:r>
          </w:p>
        </w:tc>
        <w:tc>
          <w:tcPr>
            <w:tcW w:type="dxa" w:w="7488"/>
            <w:vAlign w:val="center"/>
            <w:tcMar>
              <w:top w:w="70" w:type="dxa"/>
              <w:start w:w="85" w:type="dxa"/>
              <w:bottom w:w="70" w:type="dxa"/>
              <w:end w:w="85" w:type="dxa"/>
            </w:tcMar>
          </w:tcPr>
          <w:p>
            <w:pPr>
              <w:spacing w:before="0" w:after="0"/>
            </w:pPr>
            <w:r/>
            <w:r>
              <w:rPr>
                <w:rFonts w:ascii="Aptos" w:hAnsi="Aptos"/>
                <w:b w:val="0"/>
                <w:color w:val="27343E"/>
                <w:sz w:val="16"/>
              </w:rPr>
              <w:t>Validated intended purpose and decision/support boundary</w:t>
            </w:r>
          </w:p>
        </w:tc>
      </w:tr>
      <w:tr>
        <w:tc>
          <w:tcPr>
            <w:tcW w:type="dxa" w:w="1872"/>
            <w:vAlign w:val="center"/>
            <w:tcMar>
              <w:top w:w="70" w:type="dxa"/>
              <w:start w:w="85" w:type="dxa"/>
              <w:bottom w:w="70" w:type="dxa"/>
              <w:end w:w="85" w:type="dxa"/>
            </w:tcMar>
            <w:shd w:fill="F4F6F7"/>
          </w:tcPr>
          <w:p>
            <w:pPr>
              <w:spacing w:before="0" w:after="0"/>
            </w:pPr>
            <w:r/>
            <w:r>
              <w:rPr>
                <w:rFonts w:ascii="Aptos" w:hAnsi="Aptos"/>
                <w:b w:val="0"/>
                <w:color w:val="27343E"/>
                <w:sz w:val="16"/>
              </w:rPr>
              <w:t>ETH-EV-02</w:t>
            </w:r>
          </w:p>
        </w:tc>
        <w:tc>
          <w:tcPr>
            <w:tcW w:type="dxa" w:w="7488"/>
            <w:vAlign w:val="center"/>
            <w:tcMar>
              <w:top w:w="70" w:type="dxa"/>
              <w:start w:w="85" w:type="dxa"/>
              <w:bottom w:w="70" w:type="dxa"/>
              <w:end w:w="85" w:type="dxa"/>
            </w:tcMar>
            <w:shd w:fill="F4F6F7"/>
          </w:tcPr>
          <w:p>
            <w:pPr>
              <w:spacing w:before="0" w:after="0"/>
            </w:pPr>
            <w:r/>
            <w:r>
              <w:rPr>
                <w:rFonts w:ascii="Aptos" w:hAnsi="Aptos"/>
                <w:b w:val="0"/>
                <w:color w:val="27343E"/>
                <w:sz w:val="16"/>
              </w:rPr>
              <w:t>Affected-stakeholder map and power/dependency analysis</w:t>
            </w:r>
          </w:p>
        </w:tc>
      </w:tr>
      <w:tr>
        <w:tc>
          <w:tcPr>
            <w:tcW w:type="dxa" w:w="1872"/>
            <w:vAlign w:val="center"/>
            <w:tcMar>
              <w:top w:w="70" w:type="dxa"/>
              <w:start w:w="85" w:type="dxa"/>
              <w:bottom w:w="70" w:type="dxa"/>
              <w:end w:w="85" w:type="dxa"/>
            </w:tcMar>
          </w:tcPr>
          <w:p>
            <w:pPr>
              <w:spacing w:before="0" w:after="0"/>
            </w:pPr>
            <w:r/>
            <w:r>
              <w:rPr>
                <w:rFonts w:ascii="Aptos" w:hAnsi="Aptos"/>
                <w:b w:val="0"/>
                <w:color w:val="27343E"/>
                <w:sz w:val="16"/>
              </w:rPr>
              <w:t>ETH-EV-03</w:t>
            </w:r>
          </w:p>
        </w:tc>
        <w:tc>
          <w:tcPr>
            <w:tcW w:type="dxa" w:w="7488"/>
            <w:vAlign w:val="center"/>
            <w:tcMar>
              <w:top w:w="70" w:type="dxa"/>
              <w:start w:w="85" w:type="dxa"/>
              <w:bottom w:w="70" w:type="dxa"/>
              <w:end w:w="85" w:type="dxa"/>
            </w:tcMar>
          </w:tcPr>
          <w:p>
            <w:pPr>
              <w:spacing w:before="0" w:after="0"/>
            </w:pPr>
            <w:r/>
            <w:r>
              <w:rPr>
                <w:rFonts w:ascii="Aptos" w:hAnsi="Aptos"/>
                <w:b w:val="0"/>
                <w:color w:val="27343E"/>
                <w:sz w:val="16"/>
              </w:rPr>
              <w:t>System-specific AIA and linked risk assessment</w:t>
            </w:r>
          </w:p>
        </w:tc>
      </w:tr>
      <w:tr>
        <w:tc>
          <w:tcPr>
            <w:tcW w:type="dxa" w:w="1872"/>
            <w:vAlign w:val="center"/>
            <w:tcMar>
              <w:top w:w="70" w:type="dxa"/>
              <w:start w:w="85" w:type="dxa"/>
              <w:bottom w:w="70" w:type="dxa"/>
              <w:end w:w="85" w:type="dxa"/>
            </w:tcMar>
            <w:shd w:fill="F4F6F7"/>
          </w:tcPr>
          <w:p>
            <w:pPr>
              <w:spacing w:before="0" w:after="0"/>
            </w:pPr>
            <w:r/>
            <w:r>
              <w:rPr>
                <w:rFonts w:ascii="Aptos" w:hAnsi="Aptos"/>
                <w:b w:val="0"/>
                <w:color w:val="27343E"/>
                <w:sz w:val="16"/>
              </w:rPr>
              <w:t>ETH-EV-04</w:t>
            </w:r>
          </w:p>
        </w:tc>
        <w:tc>
          <w:tcPr>
            <w:tcW w:type="dxa" w:w="7488"/>
            <w:vAlign w:val="center"/>
            <w:tcMar>
              <w:top w:w="70" w:type="dxa"/>
              <w:start w:w="85" w:type="dxa"/>
              <w:bottom w:w="70" w:type="dxa"/>
              <w:end w:w="85" w:type="dxa"/>
            </w:tcMar>
            <w:shd w:fill="F4F6F7"/>
          </w:tcPr>
          <w:p>
            <w:pPr>
              <w:spacing w:before="0" w:after="0"/>
            </w:pPr>
            <w:r/>
            <w:r>
              <w:rPr>
                <w:rFonts w:ascii="Aptos" w:hAnsi="Aptos"/>
                <w:b w:val="0"/>
                <w:color w:val="27343E"/>
                <w:sz w:val="16"/>
              </w:rPr>
              <w:t>Human oversight procedure, training and override evidence</w:t>
            </w:r>
          </w:p>
        </w:tc>
      </w:tr>
      <w:tr>
        <w:tc>
          <w:tcPr>
            <w:tcW w:type="dxa" w:w="1872"/>
            <w:vAlign w:val="center"/>
            <w:tcMar>
              <w:top w:w="70" w:type="dxa"/>
              <w:start w:w="85" w:type="dxa"/>
              <w:bottom w:w="70" w:type="dxa"/>
              <w:end w:w="85" w:type="dxa"/>
            </w:tcMar>
          </w:tcPr>
          <w:p>
            <w:pPr>
              <w:spacing w:before="0" w:after="0"/>
            </w:pPr>
            <w:r/>
            <w:r>
              <w:rPr>
                <w:rFonts w:ascii="Aptos" w:hAnsi="Aptos"/>
                <w:b w:val="0"/>
                <w:color w:val="27343E"/>
                <w:sz w:val="16"/>
              </w:rPr>
              <w:t>ETH-EV-05</w:t>
            </w:r>
          </w:p>
        </w:tc>
        <w:tc>
          <w:tcPr>
            <w:tcW w:type="dxa" w:w="7488"/>
            <w:vAlign w:val="center"/>
            <w:tcMar>
              <w:top w:w="70" w:type="dxa"/>
              <w:start w:w="85" w:type="dxa"/>
              <w:bottom w:w="70" w:type="dxa"/>
              <w:end w:w="85" w:type="dxa"/>
            </w:tcMar>
          </w:tcPr>
          <w:p>
            <w:pPr>
              <w:spacing w:before="0" w:after="0"/>
            </w:pPr>
            <w:r/>
            <w:r>
              <w:rPr>
                <w:rFonts w:ascii="Aptos" w:hAnsi="Aptos"/>
                <w:b w:val="0"/>
                <w:color w:val="27343E"/>
                <w:sz w:val="16"/>
              </w:rPr>
              <w:t>Fairness/accessibility evidence where people/opportunity may be affected</w:t>
            </w:r>
          </w:p>
        </w:tc>
      </w:tr>
      <w:tr>
        <w:tc>
          <w:tcPr>
            <w:tcW w:type="dxa" w:w="1872"/>
            <w:vAlign w:val="center"/>
            <w:tcMar>
              <w:top w:w="70" w:type="dxa"/>
              <w:start w:w="85" w:type="dxa"/>
              <w:bottom w:w="70" w:type="dxa"/>
              <w:end w:w="85" w:type="dxa"/>
            </w:tcMar>
            <w:shd w:fill="F4F6F7"/>
          </w:tcPr>
          <w:p>
            <w:pPr>
              <w:spacing w:before="0" w:after="0"/>
            </w:pPr>
            <w:r/>
            <w:r>
              <w:rPr>
                <w:rFonts w:ascii="Aptos" w:hAnsi="Aptos"/>
                <w:b w:val="0"/>
                <w:color w:val="27343E"/>
                <w:sz w:val="16"/>
              </w:rPr>
              <w:t>ETH-EV-06</w:t>
            </w:r>
          </w:p>
        </w:tc>
        <w:tc>
          <w:tcPr>
            <w:tcW w:type="dxa" w:w="7488"/>
            <w:vAlign w:val="center"/>
            <w:tcMar>
              <w:top w:w="70" w:type="dxa"/>
              <w:start w:w="85" w:type="dxa"/>
              <w:bottom w:w="70" w:type="dxa"/>
              <w:end w:w="85" w:type="dxa"/>
            </w:tcMar>
            <w:shd w:fill="F4F6F7"/>
          </w:tcPr>
          <w:p>
            <w:pPr>
              <w:spacing w:before="0" w:after="0"/>
            </w:pPr>
            <w:r/>
            <w:r>
              <w:rPr>
                <w:rFonts w:ascii="Aptos" w:hAnsi="Aptos"/>
                <w:b w:val="0"/>
                <w:color w:val="27343E"/>
                <w:sz w:val="16"/>
              </w:rPr>
              <w:t>Privacy/data-use and security review evidence where data is material</w:t>
            </w:r>
          </w:p>
        </w:tc>
      </w:tr>
      <w:tr>
        <w:tc>
          <w:tcPr>
            <w:tcW w:type="dxa" w:w="1872"/>
            <w:vAlign w:val="center"/>
            <w:tcMar>
              <w:top w:w="70" w:type="dxa"/>
              <w:start w:w="85" w:type="dxa"/>
              <w:bottom w:w="70" w:type="dxa"/>
              <w:end w:w="85" w:type="dxa"/>
            </w:tcMar>
          </w:tcPr>
          <w:p>
            <w:pPr>
              <w:spacing w:before="0" w:after="0"/>
            </w:pPr>
            <w:r/>
            <w:r>
              <w:rPr>
                <w:rFonts w:ascii="Aptos" w:hAnsi="Aptos"/>
                <w:b w:val="0"/>
                <w:color w:val="27343E"/>
                <w:sz w:val="16"/>
              </w:rPr>
              <w:t>ETH-EV-07</w:t>
            </w:r>
          </w:p>
        </w:tc>
        <w:tc>
          <w:tcPr>
            <w:tcW w:type="dxa" w:w="7488"/>
            <w:vAlign w:val="center"/>
            <w:tcMar>
              <w:top w:w="70" w:type="dxa"/>
              <w:start w:w="85" w:type="dxa"/>
              <w:bottom w:w="70" w:type="dxa"/>
              <w:end w:w="85" w:type="dxa"/>
            </w:tcMar>
          </w:tcPr>
          <w:p>
            <w:pPr>
              <w:spacing w:before="0" w:after="0"/>
            </w:pPr>
            <w:r/>
            <w:r>
              <w:rPr>
                <w:rFonts w:ascii="Aptos" w:hAnsi="Aptos"/>
                <w:b w:val="0"/>
                <w:color w:val="27343E"/>
                <w:sz w:val="16"/>
              </w:rPr>
              <w:t>Transparency, explanation, notice, complaint/challenge/remedy artifacts</w:t>
            </w:r>
          </w:p>
        </w:tc>
      </w:tr>
      <w:tr>
        <w:tc>
          <w:tcPr>
            <w:tcW w:type="dxa" w:w="1872"/>
            <w:vAlign w:val="center"/>
            <w:tcMar>
              <w:top w:w="70" w:type="dxa"/>
              <w:start w:w="85" w:type="dxa"/>
              <w:bottom w:w="70" w:type="dxa"/>
              <w:end w:w="85" w:type="dxa"/>
            </w:tcMar>
            <w:shd w:fill="F4F6F7"/>
          </w:tcPr>
          <w:p>
            <w:pPr>
              <w:spacing w:before="0" w:after="0"/>
            </w:pPr>
            <w:r/>
            <w:r>
              <w:rPr>
                <w:rFonts w:ascii="Aptos" w:hAnsi="Aptos"/>
                <w:b w:val="0"/>
                <w:color w:val="27343E"/>
                <w:sz w:val="16"/>
              </w:rPr>
              <w:t>ETH-EV-08</w:t>
            </w:r>
          </w:p>
        </w:tc>
        <w:tc>
          <w:tcPr>
            <w:tcW w:type="dxa" w:w="7488"/>
            <w:vAlign w:val="center"/>
            <w:tcMar>
              <w:top w:w="70" w:type="dxa"/>
              <w:start w:w="85" w:type="dxa"/>
              <w:bottom w:w="70" w:type="dxa"/>
              <w:end w:w="85" w:type="dxa"/>
            </w:tcMar>
            <w:shd w:fill="F4F6F7"/>
          </w:tcPr>
          <w:p>
            <w:pPr>
              <w:spacing w:before="0" w:after="0"/>
            </w:pPr>
            <w:r/>
            <w:r>
              <w:rPr>
                <w:rFonts w:ascii="Aptos" w:hAnsi="Aptos"/>
                <w:b w:val="0"/>
                <w:color w:val="27343E"/>
                <w:sz w:val="16"/>
              </w:rPr>
              <w:t>Technical validation / safety / robustness test evidence as applicable</w:t>
            </w:r>
          </w:p>
        </w:tc>
      </w:tr>
      <w:tr>
        <w:tc>
          <w:tcPr>
            <w:tcW w:type="dxa" w:w="1872"/>
            <w:vAlign w:val="center"/>
            <w:tcMar>
              <w:top w:w="70" w:type="dxa"/>
              <w:start w:w="85" w:type="dxa"/>
              <w:bottom w:w="70" w:type="dxa"/>
              <w:end w:w="85" w:type="dxa"/>
            </w:tcMar>
          </w:tcPr>
          <w:p>
            <w:pPr>
              <w:spacing w:before="0" w:after="0"/>
            </w:pPr>
            <w:r/>
            <w:r>
              <w:rPr>
                <w:rFonts w:ascii="Aptos" w:hAnsi="Aptos"/>
                <w:b w:val="0"/>
                <w:color w:val="27343E"/>
                <w:sz w:val="16"/>
              </w:rPr>
              <w:t>ETH-EV-09</w:t>
            </w:r>
          </w:p>
        </w:tc>
        <w:tc>
          <w:tcPr>
            <w:tcW w:type="dxa" w:w="7488"/>
            <w:vAlign w:val="center"/>
            <w:tcMar>
              <w:top w:w="70" w:type="dxa"/>
              <w:start w:w="85" w:type="dxa"/>
              <w:bottom w:w="70" w:type="dxa"/>
              <w:end w:w="85" w:type="dxa"/>
            </w:tcMar>
          </w:tcPr>
          <w:p>
            <w:pPr>
              <w:spacing w:before="0" w:after="0"/>
            </w:pPr>
            <w:r/>
            <w:r>
              <w:rPr>
                <w:rFonts w:ascii="Aptos" w:hAnsi="Aptos"/>
                <w:b w:val="0"/>
                <w:color w:val="27343E"/>
                <w:sz w:val="16"/>
              </w:rPr>
              <w:t>Vendor model/data-use/retention/change and assurance evidence</w:t>
            </w:r>
          </w:p>
        </w:tc>
      </w:tr>
      <w:tr>
        <w:tc>
          <w:tcPr>
            <w:tcW w:type="dxa" w:w="1872"/>
            <w:vAlign w:val="center"/>
            <w:tcMar>
              <w:top w:w="70" w:type="dxa"/>
              <w:start w:w="85" w:type="dxa"/>
              <w:bottom w:w="70" w:type="dxa"/>
              <w:end w:w="85" w:type="dxa"/>
            </w:tcMar>
            <w:shd w:fill="F4F6F7"/>
          </w:tcPr>
          <w:p>
            <w:pPr>
              <w:spacing w:before="0" w:after="0"/>
            </w:pPr>
            <w:r/>
            <w:r>
              <w:rPr>
                <w:rFonts w:ascii="Aptos" w:hAnsi="Aptos"/>
                <w:b w:val="0"/>
                <w:color w:val="27343E"/>
                <w:sz w:val="16"/>
              </w:rPr>
              <w:t>ETH-EV-10</w:t>
            </w:r>
          </w:p>
        </w:tc>
        <w:tc>
          <w:tcPr>
            <w:tcW w:type="dxa" w:w="7488"/>
            <w:vAlign w:val="center"/>
            <w:tcMar>
              <w:top w:w="70" w:type="dxa"/>
              <w:start w:w="85" w:type="dxa"/>
              <w:bottom w:w="70" w:type="dxa"/>
              <w:end w:w="85" w:type="dxa"/>
            </w:tcMar>
            <w:shd w:fill="F4F6F7"/>
          </w:tcPr>
          <w:p>
            <w:pPr>
              <w:spacing w:before="0" w:after="0"/>
            </w:pPr>
            <w:r/>
            <w:r>
              <w:rPr>
                <w:rFonts w:ascii="Aptos" w:hAnsi="Aptos"/>
                <w:b w:val="0"/>
                <w:color w:val="27343E"/>
                <w:sz w:val="16"/>
              </w:rPr>
              <w:t>Stakeholder-engagement evidence or documented reason why simulated/no engagement was used</w:t>
            </w:r>
          </w:p>
        </w:tc>
      </w:tr>
      <w:tr>
        <w:tc>
          <w:tcPr>
            <w:tcW w:type="dxa" w:w="1872"/>
            <w:vAlign w:val="center"/>
            <w:tcMar>
              <w:top w:w="70" w:type="dxa"/>
              <w:start w:w="85" w:type="dxa"/>
              <w:bottom w:w="70" w:type="dxa"/>
              <w:end w:w="85" w:type="dxa"/>
            </w:tcMar>
          </w:tcPr>
          <w:p>
            <w:pPr>
              <w:spacing w:before="0" w:after="0"/>
            </w:pPr>
            <w:r/>
            <w:r>
              <w:rPr>
                <w:rFonts w:ascii="Aptos" w:hAnsi="Aptos"/>
                <w:b w:val="0"/>
                <w:color w:val="27343E"/>
                <w:sz w:val="16"/>
              </w:rPr>
              <w:t>ETH-EV-11</w:t>
            </w:r>
          </w:p>
        </w:tc>
        <w:tc>
          <w:tcPr>
            <w:tcW w:type="dxa" w:w="7488"/>
            <w:vAlign w:val="center"/>
            <w:tcMar>
              <w:top w:w="70" w:type="dxa"/>
              <w:start w:w="85" w:type="dxa"/>
              <w:bottom w:w="70" w:type="dxa"/>
              <w:end w:w="85" w:type="dxa"/>
            </w:tcMar>
          </w:tcPr>
          <w:p>
            <w:pPr>
              <w:spacing w:before="0" w:after="0"/>
            </w:pPr>
            <w:r/>
            <w:r>
              <w:rPr>
                <w:rFonts w:ascii="Aptos" w:hAnsi="Aptos"/>
                <w:b w:val="0"/>
                <w:color w:val="27343E"/>
                <w:sz w:val="16"/>
              </w:rPr>
              <w:t>Monitoring thresholds and post-deployment ethical indicators</w:t>
            </w:r>
          </w:p>
        </w:tc>
      </w:tr>
      <w:tr>
        <w:tc>
          <w:tcPr>
            <w:tcW w:type="dxa" w:w="1872"/>
            <w:vAlign w:val="center"/>
            <w:tcMar>
              <w:top w:w="70" w:type="dxa"/>
              <w:start w:w="85" w:type="dxa"/>
              <w:bottom w:w="70" w:type="dxa"/>
              <w:end w:w="85" w:type="dxa"/>
            </w:tcMar>
            <w:shd w:fill="F4F6F7"/>
          </w:tcPr>
          <w:p>
            <w:pPr>
              <w:spacing w:before="0" w:after="0"/>
            </w:pPr>
            <w:r/>
            <w:r>
              <w:rPr>
                <w:rFonts w:ascii="Aptos" w:hAnsi="Aptos"/>
                <w:b w:val="0"/>
                <w:color w:val="27343E"/>
                <w:sz w:val="16"/>
              </w:rPr>
              <w:t>ETH-EV-12</w:t>
            </w:r>
          </w:p>
        </w:tc>
        <w:tc>
          <w:tcPr>
            <w:tcW w:type="dxa" w:w="7488"/>
            <w:vAlign w:val="center"/>
            <w:tcMar>
              <w:top w:w="70" w:type="dxa"/>
              <w:start w:w="85" w:type="dxa"/>
              <w:bottom w:w="70" w:type="dxa"/>
              <w:end w:w="85" w:type="dxa"/>
            </w:tcMar>
            <w:shd w:fill="F4F6F7"/>
          </w:tcPr>
          <w:p>
            <w:pPr>
              <w:spacing w:before="0" w:after="0"/>
            </w:pPr>
            <w:r/>
            <w:r>
              <w:rPr>
                <w:rFonts w:ascii="Aptos" w:hAnsi="Aptos"/>
                <w:b w:val="0"/>
                <w:color w:val="27343E"/>
                <w:sz w:val="16"/>
              </w:rPr>
              <w:t>Governance decision, conditions, exceptions and treatment closure</w:t>
            </w:r>
          </w:p>
        </w:tc>
      </w:tr>
    </w:tbl>
    <w:p>
      <w:pPr>
        <w:spacing w:after="0"/>
      </w:pPr>
    </w:p>
    <w:p>
      <w:pPr>
        <w:pStyle w:val="Heading1"/>
      </w:pPr>
      <w:r>
        <w:t>20. Material Assumptions and Evidence Gaps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tcMar>
              <w:top w:w="70" w:type="dxa"/>
              <w:start w:w="85" w:type="dxa"/>
              <w:bottom w:w="70" w:type="dxa"/>
              <w:end w:w="85" w:type="dxa"/>
            </w:tcMar>
            <w:shd w:fill="173B57"/>
          </w:tcPr>
          <w:p>
            <w:pPr>
              <w:spacing w:before="0" w:after="0"/>
            </w:pPr>
            <w:r/>
            <w:r>
              <w:rPr>
                <w:rFonts w:ascii="Aptos" w:hAnsi="Aptos"/>
                <w:b/>
                <w:color w:val="FFFFFF"/>
                <w:sz w:val="15"/>
              </w:rPr>
              <w:t>Gap</w:t>
            </w:r>
          </w:p>
        </w:tc>
        <w:tc>
          <w:tcPr>
            <w:tcW w:type="dxa" w:w="6984"/>
            <w:vAlign w:val="center"/>
            <w:tcMar>
              <w:top w:w="70" w:type="dxa"/>
              <w:start w:w="85" w:type="dxa"/>
              <w:bottom w:w="70" w:type="dxa"/>
              <w:end w:w="85" w:type="dxa"/>
            </w:tcMar>
            <w:shd w:fill="173B57"/>
          </w:tcPr>
          <w:p>
            <w:pPr>
              <w:spacing w:before="0" w:after="0"/>
            </w:pPr>
            <w:r/>
            <w:r>
              <w:rPr>
                <w:rFonts w:ascii="Aptos" w:hAnsi="Aptos"/>
                <w:b/>
                <w:color w:val="FFFFFF"/>
                <w:sz w:val="15"/>
              </w:rPr>
              <w:t>Evidence limitation</w:t>
            </w:r>
          </w:p>
        </w:tc>
        <w:tc>
          <w:tcPr>
            <w:tcW w:type="dxa" w:w="1512"/>
            <w:vAlign w:val="center"/>
            <w:tcMar>
              <w:top w:w="70" w:type="dxa"/>
              <w:start w:w="85" w:type="dxa"/>
              <w:bottom w:w="70" w:type="dxa"/>
              <w:end w:w="85" w:type="dxa"/>
            </w:tcMar>
            <w:shd w:fill="173B57"/>
          </w:tcPr>
          <w:p>
            <w:pPr>
              <w:spacing w:before="0" w:after="0"/>
            </w:pPr>
            <w:r/>
            <w:r>
              <w:rPr>
                <w:rFonts w:ascii="Aptos" w:hAnsi="Aptos"/>
                <w:b/>
                <w:color w:val="FFFFFF"/>
                <w:sz w:val="15"/>
              </w:rPr>
              <w:t>Materiality</w:t>
            </w:r>
          </w:p>
        </w:tc>
      </w:tr>
      <w:tr>
        <w:tc>
          <w:tcPr>
            <w:tcW w:type="dxa" w:w="1584"/>
            <w:vAlign w:val="center"/>
            <w:tcMar>
              <w:top w:w="70" w:type="dxa"/>
              <w:start w:w="85" w:type="dxa"/>
              <w:bottom w:w="70" w:type="dxa"/>
              <w:end w:w="85" w:type="dxa"/>
            </w:tcMar>
          </w:tcPr>
          <w:p>
            <w:pPr>
              <w:spacing w:before="0" w:after="0"/>
            </w:pPr>
            <w:r/>
            <w:r>
              <w:rPr>
                <w:rFonts w:ascii="Aptos" w:hAnsi="Aptos"/>
                <w:b w:val="0"/>
                <w:color w:val="27343E"/>
                <w:sz w:val="15"/>
              </w:rPr>
              <w:t>GAP-ETH-01</w:t>
            </w:r>
          </w:p>
        </w:tc>
        <w:tc>
          <w:tcPr>
            <w:tcW w:type="dxa" w:w="6984"/>
            <w:vAlign w:val="center"/>
            <w:tcMar>
              <w:top w:w="70" w:type="dxa"/>
              <w:start w:w="85" w:type="dxa"/>
              <w:bottom w:w="70" w:type="dxa"/>
              <w:end w:w="85" w:type="dxa"/>
            </w:tcMar>
          </w:tcPr>
          <w:p>
            <w:pPr>
              <w:spacing w:before="0" w:after="0"/>
            </w:pPr>
            <w:r/>
            <w:r>
              <w:rPr>
                <w:rFonts w:ascii="Aptos" w:hAnsi="Aptos"/>
                <w:b w:val="0"/>
                <w:color w:val="27343E"/>
                <w:sz w:val="15"/>
              </w:rPr>
              <w:t>Several human-authority arrangements remain project assumptions and must be validated in operating procedures.</w:t>
            </w:r>
          </w:p>
        </w:tc>
        <w:tc>
          <w:tcPr>
            <w:tcW w:type="dxa" w:w="1512"/>
            <w:vAlign w:val="center"/>
            <w:tcMar>
              <w:top w:w="70" w:type="dxa"/>
              <w:start w:w="85" w:type="dxa"/>
              <w:bottom w:w="70" w:type="dxa"/>
              <w:end w:w="85" w:type="dxa"/>
            </w:tcMar>
          </w:tcPr>
          <w:p>
            <w:pPr>
              <w:spacing w:before="0" w:after="0"/>
            </w:pPr>
            <w:r/>
            <w:r>
              <w:rPr>
                <w:rFonts w:ascii="Aptos" w:hAnsi="Aptos"/>
                <w:b w:val="0"/>
                <w:color w:val="27343E"/>
                <w:sz w:val="15"/>
              </w:rPr>
              <w:t>Critical</w:t>
            </w:r>
          </w:p>
        </w:tc>
      </w:tr>
      <w:tr>
        <w:tc>
          <w:tcPr>
            <w:tcW w:type="dxa" w:w="1584"/>
            <w:vAlign w:val="center"/>
            <w:tcMar>
              <w:top w:w="70" w:type="dxa"/>
              <w:start w:w="85" w:type="dxa"/>
              <w:bottom w:w="70" w:type="dxa"/>
              <w:end w:w="85" w:type="dxa"/>
            </w:tcMar>
            <w:shd w:fill="F4F6F7"/>
          </w:tcPr>
          <w:p>
            <w:pPr>
              <w:spacing w:before="0" w:after="0"/>
            </w:pPr>
            <w:r/>
            <w:r>
              <w:rPr>
                <w:rFonts w:ascii="Aptos" w:hAnsi="Aptos"/>
                <w:b w:val="0"/>
                <w:color w:val="27343E"/>
                <w:sz w:val="15"/>
              </w:rPr>
              <w:t>GAP-ETH-02</w:t>
            </w:r>
          </w:p>
        </w:tc>
        <w:tc>
          <w:tcPr>
            <w:tcW w:type="dxa" w:w="6984"/>
            <w:vAlign w:val="center"/>
            <w:tcMar>
              <w:top w:w="70" w:type="dxa"/>
              <w:start w:w="85" w:type="dxa"/>
              <w:bottom w:w="70" w:type="dxa"/>
              <w:end w:w="85" w:type="dxa"/>
            </w:tcMar>
            <w:shd w:fill="F4F6F7"/>
          </w:tcPr>
          <w:p>
            <w:pPr>
              <w:spacing w:before="0" w:after="0"/>
            </w:pPr>
            <w:r/>
            <w:r>
              <w:rPr>
                <w:rFonts w:ascii="Aptos" w:hAnsi="Aptos"/>
                <w:b w:val="0"/>
                <w:color w:val="27343E"/>
                <w:sz w:val="15"/>
              </w:rPr>
              <w:t>DuckTalent vendor/model, production data, fairness and accessibility evidence are not verified.</w:t>
            </w:r>
          </w:p>
        </w:tc>
        <w:tc>
          <w:tcPr>
            <w:tcW w:type="dxa" w:w="1512"/>
            <w:vAlign w:val="center"/>
            <w:tcMar>
              <w:top w:w="70" w:type="dxa"/>
              <w:start w:w="85" w:type="dxa"/>
              <w:bottom w:w="70" w:type="dxa"/>
              <w:end w:w="85" w:type="dxa"/>
            </w:tcMar>
            <w:shd w:fill="F4F6F7"/>
          </w:tcPr>
          <w:p>
            <w:pPr>
              <w:spacing w:before="0" w:after="0"/>
            </w:pPr>
            <w:r/>
            <w:r>
              <w:rPr>
                <w:rFonts w:ascii="Aptos" w:hAnsi="Aptos"/>
                <w:b w:val="0"/>
                <w:color w:val="27343E"/>
                <w:sz w:val="15"/>
              </w:rPr>
              <w:t>Critical</w:t>
            </w:r>
          </w:p>
        </w:tc>
      </w:tr>
      <w:tr>
        <w:tc>
          <w:tcPr>
            <w:tcW w:type="dxa" w:w="1584"/>
            <w:vAlign w:val="center"/>
            <w:tcMar>
              <w:top w:w="70" w:type="dxa"/>
              <w:start w:w="85" w:type="dxa"/>
              <w:bottom w:w="70" w:type="dxa"/>
              <w:end w:w="85" w:type="dxa"/>
            </w:tcMar>
          </w:tcPr>
          <w:p>
            <w:pPr>
              <w:spacing w:before="0" w:after="0"/>
            </w:pPr>
            <w:r/>
            <w:r>
              <w:rPr>
                <w:rFonts w:ascii="Aptos" w:hAnsi="Aptos"/>
                <w:b w:val="0"/>
                <w:color w:val="27343E"/>
                <w:sz w:val="15"/>
              </w:rPr>
              <w:t>GAP-ETH-03</w:t>
            </w:r>
          </w:p>
        </w:tc>
        <w:tc>
          <w:tcPr>
            <w:tcW w:type="dxa" w:w="6984"/>
            <w:vAlign w:val="center"/>
            <w:tcMar>
              <w:top w:w="70" w:type="dxa"/>
              <w:start w:w="85" w:type="dxa"/>
              <w:bottom w:w="70" w:type="dxa"/>
              <w:end w:w="85" w:type="dxa"/>
            </w:tcMar>
          </w:tcPr>
          <w:p>
            <w:pPr>
              <w:spacing w:before="0" w:after="0"/>
            </w:pPr>
            <w:r/>
            <w:r>
              <w:rPr>
                <w:rFonts w:ascii="Aptos" w:hAnsi="Aptos"/>
                <w:b w:val="0"/>
                <w:color w:val="27343E"/>
                <w:sz w:val="15"/>
              </w:rPr>
              <w:t>PondGPT permission architecture and future connector/agent scope require evidence.</w:t>
            </w:r>
          </w:p>
        </w:tc>
        <w:tc>
          <w:tcPr>
            <w:tcW w:type="dxa" w:w="1512"/>
            <w:vAlign w:val="center"/>
            <w:tcMar>
              <w:top w:w="70" w:type="dxa"/>
              <w:start w:w="85" w:type="dxa"/>
              <w:bottom w:w="70" w:type="dxa"/>
              <w:end w:w="85" w:type="dxa"/>
            </w:tcMar>
          </w:tcPr>
          <w:p>
            <w:pPr>
              <w:spacing w:before="0" w:after="0"/>
            </w:pPr>
            <w:r/>
            <w:r>
              <w:rPr>
                <w:rFonts w:ascii="Aptos" w:hAnsi="Aptos"/>
                <w:b w:val="0"/>
                <w:color w:val="27343E"/>
                <w:sz w:val="15"/>
              </w:rPr>
              <w:t>High</w:t>
            </w:r>
          </w:p>
        </w:tc>
      </w:tr>
      <w:tr>
        <w:tc>
          <w:tcPr>
            <w:tcW w:type="dxa" w:w="1584"/>
            <w:vAlign w:val="center"/>
            <w:tcMar>
              <w:top w:w="70" w:type="dxa"/>
              <w:start w:w="85" w:type="dxa"/>
              <w:bottom w:w="70" w:type="dxa"/>
              <w:end w:w="85" w:type="dxa"/>
            </w:tcMar>
            <w:shd w:fill="F4F6F7"/>
          </w:tcPr>
          <w:p>
            <w:pPr>
              <w:spacing w:before="0" w:after="0"/>
            </w:pPr>
            <w:r/>
            <w:r>
              <w:rPr>
                <w:rFonts w:ascii="Aptos" w:hAnsi="Aptos"/>
                <w:b w:val="0"/>
                <w:color w:val="27343E"/>
                <w:sz w:val="15"/>
              </w:rPr>
              <w:t>GAP-ETH-04</w:t>
            </w:r>
          </w:p>
        </w:tc>
        <w:tc>
          <w:tcPr>
            <w:tcW w:type="dxa" w:w="6984"/>
            <w:vAlign w:val="center"/>
            <w:tcMar>
              <w:top w:w="70" w:type="dxa"/>
              <w:start w:w="85" w:type="dxa"/>
              <w:bottom w:w="70" w:type="dxa"/>
              <w:end w:w="85" w:type="dxa"/>
            </w:tcMar>
            <w:shd w:fill="F4F6F7"/>
          </w:tcPr>
          <w:p>
            <w:pPr>
              <w:spacing w:before="0" w:after="0"/>
            </w:pPr>
            <w:r/>
            <w:r>
              <w:rPr>
                <w:rFonts w:ascii="Aptos" w:hAnsi="Aptos"/>
                <w:b w:val="0"/>
                <w:color w:val="27343E"/>
                <w:sz w:val="15"/>
              </w:rPr>
              <w:t>Provider-specific environmental/energy/resource data is not available for material third-party GenAI services.</w:t>
            </w:r>
          </w:p>
        </w:tc>
        <w:tc>
          <w:tcPr>
            <w:tcW w:type="dxa" w:w="1512"/>
            <w:vAlign w:val="center"/>
            <w:tcMar>
              <w:top w:w="70" w:type="dxa"/>
              <w:start w:w="85" w:type="dxa"/>
              <w:bottom w:w="70" w:type="dxa"/>
              <w:end w:w="85" w:type="dxa"/>
            </w:tcMar>
            <w:shd w:fill="F4F6F7"/>
          </w:tcPr>
          <w:p>
            <w:pPr>
              <w:spacing w:before="0" w:after="0"/>
            </w:pPr>
            <w:r/>
            <w:r>
              <w:rPr>
                <w:rFonts w:ascii="Aptos" w:hAnsi="Aptos"/>
                <w:b w:val="0"/>
                <w:color w:val="27343E"/>
                <w:sz w:val="15"/>
              </w:rPr>
              <w:t>Medium</w:t>
            </w:r>
          </w:p>
        </w:tc>
      </w:tr>
      <w:tr>
        <w:tc>
          <w:tcPr>
            <w:tcW w:type="dxa" w:w="1584"/>
            <w:vAlign w:val="center"/>
            <w:tcMar>
              <w:top w:w="70" w:type="dxa"/>
              <w:start w:w="85" w:type="dxa"/>
              <w:bottom w:w="70" w:type="dxa"/>
              <w:end w:w="85" w:type="dxa"/>
            </w:tcMar>
          </w:tcPr>
          <w:p>
            <w:pPr>
              <w:spacing w:before="0" w:after="0"/>
            </w:pPr>
            <w:r/>
            <w:r>
              <w:rPr>
                <w:rFonts w:ascii="Aptos" w:hAnsi="Aptos"/>
                <w:b w:val="0"/>
                <w:color w:val="27343E"/>
                <w:sz w:val="15"/>
              </w:rPr>
              <w:t>GAP-ETH-05</w:t>
            </w:r>
          </w:p>
        </w:tc>
        <w:tc>
          <w:tcPr>
            <w:tcW w:type="dxa" w:w="6984"/>
            <w:vAlign w:val="center"/>
            <w:tcMar>
              <w:top w:w="70" w:type="dxa"/>
              <w:start w:w="85" w:type="dxa"/>
              <w:bottom w:w="70" w:type="dxa"/>
              <w:end w:w="85" w:type="dxa"/>
            </w:tcMar>
          </w:tcPr>
          <w:p>
            <w:pPr>
              <w:spacing w:before="0" w:after="0"/>
            </w:pPr>
            <w:r/>
            <w:r>
              <w:rPr>
                <w:rFonts w:ascii="Aptos" w:hAnsi="Aptos"/>
                <w:b w:val="0"/>
                <w:color w:val="27343E"/>
                <w:sz w:val="15"/>
              </w:rPr>
              <w:t>No real stakeholder engagement or real affected-person evidence is claimed in this portfolio.</w:t>
            </w:r>
          </w:p>
        </w:tc>
        <w:tc>
          <w:tcPr>
            <w:tcW w:type="dxa" w:w="1512"/>
            <w:vAlign w:val="center"/>
            <w:tcMar>
              <w:top w:w="70" w:type="dxa"/>
              <w:start w:w="85" w:type="dxa"/>
              <w:bottom w:w="70" w:type="dxa"/>
              <w:end w:w="85" w:type="dxa"/>
            </w:tcMar>
          </w:tcPr>
          <w:p>
            <w:pPr>
              <w:spacing w:before="0" w:after="0"/>
            </w:pPr>
            <w:r/>
            <w:r>
              <w:rPr>
                <w:rFonts w:ascii="Aptos" w:hAnsi="Aptos"/>
                <w:b w:val="0"/>
                <w:color w:val="27343E"/>
                <w:sz w:val="15"/>
              </w:rPr>
              <w:t>High</w:t>
            </w:r>
          </w:p>
        </w:tc>
      </w:tr>
      <w:tr>
        <w:tc>
          <w:tcPr>
            <w:tcW w:type="dxa" w:w="1584"/>
            <w:vAlign w:val="center"/>
            <w:tcMar>
              <w:top w:w="70" w:type="dxa"/>
              <w:start w:w="85" w:type="dxa"/>
              <w:bottom w:w="70" w:type="dxa"/>
              <w:end w:w="85" w:type="dxa"/>
            </w:tcMar>
            <w:shd w:fill="F4F6F7"/>
          </w:tcPr>
          <w:p>
            <w:pPr>
              <w:spacing w:before="0" w:after="0"/>
            </w:pPr>
            <w:r/>
            <w:r>
              <w:rPr>
                <w:rFonts w:ascii="Aptos" w:hAnsi="Aptos"/>
                <w:b w:val="0"/>
                <w:color w:val="27343E"/>
                <w:sz w:val="15"/>
              </w:rPr>
              <w:t>GAP-ETH-06</w:t>
            </w:r>
          </w:p>
        </w:tc>
        <w:tc>
          <w:tcPr>
            <w:tcW w:type="dxa" w:w="6984"/>
            <w:vAlign w:val="center"/>
            <w:tcMar>
              <w:top w:w="70" w:type="dxa"/>
              <w:start w:w="85" w:type="dxa"/>
              <w:bottom w:w="70" w:type="dxa"/>
              <w:end w:w="85" w:type="dxa"/>
            </w:tcMar>
            <w:shd w:fill="F4F6F7"/>
          </w:tcPr>
          <w:p>
            <w:pPr>
              <w:spacing w:before="0" w:after="0"/>
            </w:pPr>
            <w:r/>
            <w:r>
              <w:rPr>
                <w:rFonts w:ascii="Aptos" w:hAnsi="Aptos"/>
                <w:b w:val="0"/>
                <w:color w:val="27343E"/>
                <w:sz w:val="15"/>
              </w:rPr>
              <w:t>No real protected-class or applicant data is used; fairness conclusions are governance hypotheses, not validated production results.</w:t>
            </w:r>
          </w:p>
        </w:tc>
        <w:tc>
          <w:tcPr>
            <w:tcW w:type="dxa" w:w="1512"/>
            <w:vAlign w:val="center"/>
            <w:tcMar>
              <w:top w:w="70" w:type="dxa"/>
              <w:start w:w="85" w:type="dxa"/>
              <w:bottom w:w="70" w:type="dxa"/>
              <w:end w:w="85" w:type="dxa"/>
            </w:tcMar>
            <w:shd w:fill="F4F6F7"/>
          </w:tcPr>
          <w:p>
            <w:pPr>
              <w:spacing w:before="0" w:after="0"/>
            </w:pPr>
            <w:r/>
            <w:r>
              <w:rPr>
                <w:rFonts w:ascii="Aptos" w:hAnsi="Aptos"/>
                <w:b w:val="0"/>
                <w:color w:val="27343E"/>
                <w:sz w:val="15"/>
              </w:rPr>
              <w:t>Critical for DuckTalent</w:t>
            </w:r>
          </w:p>
        </w:tc>
      </w:tr>
      <w:tr>
        <w:tc>
          <w:tcPr>
            <w:tcW w:type="dxa" w:w="1584"/>
            <w:vAlign w:val="center"/>
            <w:tcMar>
              <w:top w:w="70" w:type="dxa"/>
              <w:start w:w="85" w:type="dxa"/>
              <w:bottom w:w="70" w:type="dxa"/>
              <w:end w:w="85" w:type="dxa"/>
            </w:tcMar>
          </w:tcPr>
          <w:p>
            <w:pPr>
              <w:spacing w:before="0" w:after="0"/>
            </w:pPr>
            <w:r/>
            <w:r>
              <w:rPr>
                <w:rFonts w:ascii="Aptos" w:hAnsi="Aptos"/>
                <w:b w:val="0"/>
                <w:color w:val="27343E"/>
                <w:sz w:val="15"/>
              </w:rPr>
              <w:t>GAP-ETH-07</w:t>
            </w:r>
          </w:p>
        </w:tc>
        <w:tc>
          <w:tcPr>
            <w:tcW w:type="dxa" w:w="6984"/>
            <w:vAlign w:val="center"/>
            <w:tcMar>
              <w:top w:w="70" w:type="dxa"/>
              <w:start w:w="85" w:type="dxa"/>
              <w:bottom w:w="70" w:type="dxa"/>
              <w:end w:w="85" w:type="dxa"/>
            </w:tcMar>
          </w:tcPr>
          <w:p>
            <w:pPr>
              <w:spacing w:before="0" w:after="0"/>
            </w:pPr>
            <w:r/>
            <w:r>
              <w:rPr>
                <w:rFonts w:ascii="Aptos" w:hAnsi="Aptos"/>
                <w:b w:val="0"/>
                <w:color w:val="27343E"/>
                <w:sz w:val="15"/>
              </w:rPr>
              <w:t>AI-007 contains multiple unknown uses and cannot receive one stable ethical conclusion beyond containment/decomposition.</w:t>
            </w:r>
          </w:p>
        </w:tc>
        <w:tc>
          <w:tcPr>
            <w:tcW w:type="dxa" w:w="1512"/>
            <w:vAlign w:val="center"/>
            <w:tcMar>
              <w:top w:w="70" w:type="dxa"/>
              <w:start w:w="85" w:type="dxa"/>
              <w:bottom w:w="70" w:type="dxa"/>
              <w:end w:w="85" w:type="dxa"/>
            </w:tcMar>
          </w:tcPr>
          <w:p>
            <w:pPr>
              <w:spacing w:before="0" w:after="0"/>
            </w:pPr>
            <w:r/>
            <w:r>
              <w:rPr>
                <w:rFonts w:ascii="Aptos" w:hAnsi="Aptos"/>
                <w:b w:val="0"/>
                <w:color w:val="27343E"/>
                <w:sz w:val="15"/>
              </w:rPr>
              <w:t>Critical</w:t>
            </w:r>
          </w:p>
        </w:tc>
      </w:tr>
      <w:tr>
        <w:tc>
          <w:tcPr>
            <w:tcW w:type="dxa" w:w="1584"/>
            <w:vAlign w:val="center"/>
            <w:tcMar>
              <w:top w:w="70" w:type="dxa"/>
              <w:start w:w="85" w:type="dxa"/>
              <w:bottom w:w="70" w:type="dxa"/>
              <w:end w:w="85" w:type="dxa"/>
            </w:tcMar>
            <w:shd w:fill="F4F6F7"/>
          </w:tcPr>
          <w:p>
            <w:pPr>
              <w:spacing w:before="0" w:after="0"/>
            </w:pPr>
            <w:r/>
            <w:r>
              <w:rPr>
                <w:rFonts w:ascii="Aptos" w:hAnsi="Aptos"/>
                <w:b w:val="0"/>
                <w:color w:val="27343E"/>
                <w:sz w:val="15"/>
              </w:rPr>
              <w:t>GAP-ETH-08</w:t>
            </w:r>
          </w:p>
        </w:tc>
        <w:tc>
          <w:tcPr>
            <w:tcW w:type="dxa" w:w="6984"/>
            <w:vAlign w:val="center"/>
            <w:tcMar>
              <w:top w:w="70" w:type="dxa"/>
              <w:start w:w="85" w:type="dxa"/>
              <w:bottom w:w="70" w:type="dxa"/>
              <w:end w:w="85" w:type="dxa"/>
            </w:tcMar>
            <w:shd w:fill="F4F6F7"/>
          </w:tcPr>
          <w:p>
            <w:pPr>
              <w:spacing w:before="0" w:after="0"/>
            </w:pPr>
            <w:r/>
            <w:r>
              <w:rPr>
                <w:rFonts w:ascii="Aptos" w:hAnsi="Aptos"/>
                <w:b w:val="0"/>
                <w:color w:val="27343E"/>
                <w:sz w:val="15"/>
              </w:rPr>
              <w:t>Exact jurisdictions and national employment/equality/privacy implementation details require separate Legal review.</w:t>
            </w:r>
          </w:p>
        </w:tc>
        <w:tc>
          <w:tcPr>
            <w:tcW w:type="dxa" w:w="1512"/>
            <w:vAlign w:val="center"/>
            <w:tcMar>
              <w:top w:w="70" w:type="dxa"/>
              <w:start w:w="85" w:type="dxa"/>
              <w:bottom w:w="70" w:type="dxa"/>
              <w:end w:w="85" w:type="dxa"/>
            </w:tcMar>
            <w:shd w:fill="F4F6F7"/>
          </w:tcPr>
          <w:p>
            <w:pPr>
              <w:spacing w:before="0" w:after="0"/>
            </w:pPr>
            <w:r/>
            <w:r>
              <w:rPr>
                <w:rFonts w:ascii="Aptos" w:hAnsi="Aptos"/>
                <w:b w:val="0"/>
                <w:color w:val="27343E"/>
                <w:sz w:val="15"/>
              </w:rPr>
              <w:t>High</w:t>
            </w:r>
          </w:p>
        </w:tc>
      </w:tr>
    </w:tbl>
    <w:p>
      <w:pPr>
        <w:spacing w:after="0"/>
      </w:pPr>
    </w:p>
    <w:p>
      <w:pPr>
        <w:pStyle w:val="Heading1"/>
      </w:pPr>
      <w:r>
        <w:t>21. Source and Framework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816"/>
            <w:vAlign w:val="center"/>
            <w:tcMar>
              <w:top w:w="70" w:type="dxa"/>
              <w:start w:w="85" w:type="dxa"/>
              <w:bottom w:w="70" w:type="dxa"/>
              <w:end w:w="85" w:type="dxa"/>
            </w:tcMar>
            <w:shd w:fill="173B57"/>
          </w:tcPr>
          <w:p>
            <w:pPr>
              <w:spacing w:before="0" w:after="0"/>
            </w:pPr>
            <w:r/>
            <w:r>
              <w:rPr>
                <w:rFonts w:ascii="Aptos" w:hAnsi="Aptos"/>
                <w:b/>
                <w:color w:val="FFFFFF"/>
                <w:sz w:val="14"/>
              </w:rPr>
              <w:t>Source</w:t>
            </w:r>
          </w:p>
        </w:tc>
        <w:tc>
          <w:tcPr>
            <w:tcW w:type="dxa" w:w="4392"/>
            <w:vAlign w:val="center"/>
            <w:tcMar>
              <w:top w:w="70" w:type="dxa"/>
              <w:start w:w="85" w:type="dxa"/>
              <w:bottom w:w="70" w:type="dxa"/>
              <w:end w:w="85" w:type="dxa"/>
            </w:tcMar>
            <w:shd w:fill="173B57"/>
          </w:tcPr>
          <w:p>
            <w:pPr>
              <w:spacing w:before="0" w:after="0"/>
            </w:pPr>
            <w:r/>
            <w:r>
              <w:rPr>
                <w:rFonts w:ascii="Aptos" w:hAnsi="Aptos"/>
                <w:b/>
                <w:color w:val="FFFFFF"/>
                <w:sz w:val="14"/>
              </w:rPr>
              <w:t>Use</w:t>
            </w:r>
          </w:p>
        </w:tc>
        <w:tc>
          <w:tcPr>
            <w:tcW w:type="dxa" w:w="1440"/>
            <w:vAlign w:val="center"/>
            <w:tcMar>
              <w:top w:w="70" w:type="dxa"/>
              <w:start w:w="85" w:type="dxa"/>
              <w:bottom w:w="70" w:type="dxa"/>
              <w:end w:w="85" w:type="dxa"/>
            </w:tcMar>
            <w:shd w:fill="173B57"/>
          </w:tcPr>
          <w:p>
            <w:pPr>
              <w:spacing w:before="0" w:after="0"/>
            </w:pPr>
            <w:r/>
            <w:r>
              <w:rPr>
                <w:rFonts w:ascii="Aptos" w:hAnsi="Aptos"/>
                <w:b/>
                <w:color w:val="FFFFFF"/>
                <w:sz w:val="14"/>
              </w:rPr>
              <w:t>Classification</w:t>
            </w:r>
          </w:p>
        </w:tc>
      </w:tr>
      <w:tr>
        <w:tc>
          <w:tcPr>
            <w:tcW w:type="dxa" w:w="3816"/>
            <w:vAlign w:val="center"/>
            <w:tcMar>
              <w:top w:w="70" w:type="dxa"/>
              <w:start w:w="85" w:type="dxa"/>
              <w:bottom w:w="70" w:type="dxa"/>
              <w:end w:w="85" w:type="dxa"/>
            </w:tcMar>
          </w:tcPr>
          <w:p>
            <w:pPr>
              <w:spacing w:before="0" w:after="0"/>
            </w:pPr>
            <w:r/>
            <w:r>
              <w:rPr>
                <w:rFonts w:ascii="Aptos" w:hAnsi="Aptos"/>
                <w:b w:val="0"/>
                <w:color w:val="27343E"/>
                <w:sz w:val="14"/>
              </w:rPr>
              <w:t>European Commission — Ethics Guidelines for Trustworthy AI / ALTAI</w:t>
            </w:r>
          </w:p>
        </w:tc>
        <w:tc>
          <w:tcPr>
            <w:tcW w:type="dxa" w:w="4392"/>
            <w:vAlign w:val="center"/>
            <w:tcMar>
              <w:top w:w="70" w:type="dxa"/>
              <w:start w:w="85" w:type="dxa"/>
              <w:bottom w:w="70" w:type="dxa"/>
              <w:end w:w="85" w:type="dxa"/>
            </w:tcMar>
          </w:tcPr>
          <w:p>
            <w:pPr>
              <w:spacing w:before="0" w:after="0"/>
            </w:pPr>
            <w:r/>
            <w:r>
              <w:rPr>
                <w:rFonts w:ascii="Aptos" w:hAnsi="Aptos"/>
                <w:b w:val="0"/>
                <w:color w:val="27343E"/>
                <w:sz w:val="14"/>
              </w:rPr>
              <w:t>Seven ethical/trustworthy-AI requirements used as the primary ethical structure.</w:t>
            </w:r>
          </w:p>
        </w:tc>
        <w:tc>
          <w:tcPr>
            <w:tcW w:type="dxa" w:w="1440"/>
            <w:vAlign w:val="center"/>
            <w:tcMar>
              <w:top w:w="70" w:type="dxa"/>
              <w:start w:w="85" w:type="dxa"/>
              <w:bottom w:w="70" w:type="dxa"/>
              <w:end w:w="85" w:type="dxa"/>
            </w:tcMar>
          </w:tcPr>
          <w:p>
            <w:pPr>
              <w:spacing w:before="0" w:after="0"/>
            </w:pPr>
            <w:r/>
            <w:r>
              <w:rPr>
                <w:rFonts w:ascii="Aptos" w:hAnsi="Aptos"/>
                <w:b w:val="0"/>
                <w:color w:val="27343E"/>
                <w:sz w:val="14"/>
              </w:rPr>
              <w:t>Voluntary guidance</w:t>
            </w:r>
          </w:p>
        </w:tc>
      </w:tr>
      <w:tr>
        <w:tc>
          <w:tcPr>
            <w:tcW w:type="dxa" w:w="3816"/>
            <w:vAlign w:val="center"/>
            <w:tcMar>
              <w:top w:w="70" w:type="dxa"/>
              <w:start w:w="85" w:type="dxa"/>
              <w:bottom w:w="70" w:type="dxa"/>
              <w:end w:w="85" w:type="dxa"/>
            </w:tcMar>
            <w:shd w:fill="F4F6F7"/>
          </w:tcPr>
          <w:p>
            <w:pPr>
              <w:spacing w:before="0" w:after="0"/>
            </w:pPr>
            <w:r/>
            <w:r>
              <w:rPr>
                <w:rFonts w:ascii="Aptos" w:hAnsi="Aptos"/>
                <w:b w:val="0"/>
                <w:color w:val="27343E"/>
                <w:sz w:val="14"/>
              </w:rPr>
              <w:t>OECD AI Principles (updated 2024)</w:t>
            </w:r>
          </w:p>
        </w:tc>
        <w:tc>
          <w:tcPr>
            <w:tcW w:type="dxa" w:w="4392"/>
            <w:vAlign w:val="center"/>
            <w:tcMar>
              <w:top w:w="70" w:type="dxa"/>
              <w:start w:w="85" w:type="dxa"/>
              <w:bottom w:w="70" w:type="dxa"/>
              <w:end w:w="85" w:type="dxa"/>
            </w:tcMar>
            <w:shd w:fill="F4F6F7"/>
          </w:tcPr>
          <w:p>
            <w:pPr>
              <w:spacing w:before="0" w:after="0"/>
            </w:pPr>
            <w:r/>
            <w:r>
              <w:rPr>
                <w:rFonts w:ascii="Aptos" w:hAnsi="Aptos"/>
                <w:b w:val="0"/>
                <w:color w:val="27343E"/>
                <w:sz w:val="14"/>
              </w:rPr>
              <w:t>Human-centred values/fairness; transparency; robustness/security/safety; accountability; inclusive growth/well-being.</w:t>
            </w:r>
          </w:p>
        </w:tc>
        <w:tc>
          <w:tcPr>
            <w:tcW w:type="dxa" w:w="1440"/>
            <w:vAlign w:val="center"/>
            <w:tcMar>
              <w:top w:w="70" w:type="dxa"/>
              <w:start w:w="85" w:type="dxa"/>
              <w:bottom w:w="70" w:type="dxa"/>
              <w:end w:w="85" w:type="dxa"/>
            </w:tcMar>
            <w:shd w:fill="F4F6F7"/>
          </w:tcPr>
          <w:p>
            <w:pPr>
              <w:spacing w:before="0" w:after="0"/>
            </w:pPr>
            <w:r/>
            <w:r>
              <w:rPr>
                <w:rFonts w:ascii="Aptos" w:hAnsi="Aptos"/>
                <w:b w:val="0"/>
                <w:color w:val="27343E"/>
                <w:sz w:val="14"/>
              </w:rPr>
              <w:t>Voluntary intergovernmental principles</w:t>
            </w:r>
          </w:p>
        </w:tc>
      </w:tr>
      <w:tr>
        <w:tc>
          <w:tcPr>
            <w:tcW w:type="dxa" w:w="3816"/>
            <w:vAlign w:val="center"/>
            <w:tcMar>
              <w:top w:w="70" w:type="dxa"/>
              <w:start w:w="85" w:type="dxa"/>
              <w:bottom w:w="70" w:type="dxa"/>
              <w:end w:w="85" w:type="dxa"/>
            </w:tcMar>
          </w:tcPr>
          <w:p>
            <w:pPr>
              <w:spacing w:before="0" w:after="0"/>
            </w:pPr>
            <w:r/>
            <w:r>
              <w:rPr>
                <w:rFonts w:ascii="Aptos" w:hAnsi="Aptos"/>
                <w:b w:val="0"/>
                <w:color w:val="27343E"/>
                <w:sz w:val="14"/>
              </w:rPr>
              <w:t>NIST AI RMF 1.0</w:t>
            </w:r>
          </w:p>
        </w:tc>
        <w:tc>
          <w:tcPr>
            <w:tcW w:type="dxa" w:w="4392"/>
            <w:vAlign w:val="center"/>
            <w:tcMar>
              <w:top w:w="70" w:type="dxa"/>
              <w:start w:w="85" w:type="dxa"/>
              <w:bottom w:w="70" w:type="dxa"/>
              <w:end w:w="85" w:type="dxa"/>
            </w:tcMar>
          </w:tcPr>
          <w:p>
            <w:pPr>
              <w:spacing w:before="0" w:after="0"/>
            </w:pPr>
            <w:r/>
            <w:r>
              <w:rPr>
                <w:rFonts w:ascii="Aptos" w:hAnsi="Aptos"/>
                <w:b w:val="0"/>
                <w:color w:val="27343E"/>
                <w:sz w:val="14"/>
              </w:rPr>
              <w:t>Trustworthy AI characteristics and Govern-Map-Measure-Manage thinking.</w:t>
            </w:r>
          </w:p>
        </w:tc>
        <w:tc>
          <w:tcPr>
            <w:tcW w:type="dxa" w:w="1440"/>
            <w:vAlign w:val="center"/>
            <w:tcMar>
              <w:top w:w="70" w:type="dxa"/>
              <w:start w:w="85" w:type="dxa"/>
              <w:bottom w:w="70" w:type="dxa"/>
              <w:end w:w="85" w:type="dxa"/>
            </w:tcMar>
          </w:tcPr>
          <w:p>
            <w:pPr>
              <w:spacing w:before="0" w:after="0"/>
            </w:pPr>
            <w:r/>
            <w:r>
              <w:rPr>
                <w:rFonts w:ascii="Aptos" w:hAnsi="Aptos"/>
                <w:b w:val="0"/>
                <w:color w:val="27343E"/>
                <w:sz w:val="14"/>
              </w:rPr>
              <w:t>Voluntary framework</w:t>
            </w:r>
          </w:p>
        </w:tc>
      </w:tr>
      <w:tr>
        <w:tc>
          <w:tcPr>
            <w:tcW w:type="dxa" w:w="3816"/>
            <w:vAlign w:val="center"/>
            <w:tcMar>
              <w:top w:w="70" w:type="dxa"/>
              <w:start w:w="85" w:type="dxa"/>
              <w:bottom w:w="70" w:type="dxa"/>
              <w:end w:w="85" w:type="dxa"/>
            </w:tcMar>
            <w:shd w:fill="F4F6F7"/>
          </w:tcPr>
          <w:p>
            <w:pPr>
              <w:spacing w:before="0" w:after="0"/>
            </w:pPr>
            <w:r/>
            <w:r>
              <w:rPr>
                <w:rFonts w:ascii="Aptos" w:hAnsi="Aptos"/>
                <w:b w:val="0"/>
                <w:color w:val="27343E"/>
                <w:sz w:val="14"/>
              </w:rPr>
              <w:t>ISO/IEC 42005:2025 public description</w:t>
            </w:r>
          </w:p>
        </w:tc>
        <w:tc>
          <w:tcPr>
            <w:tcW w:type="dxa" w:w="4392"/>
            <w:vAlign w:val="center"/>
            <w:tcMar>
              <w:top w:w="70" w:type="dxa"/>
              <w:start w:w="85" w:type="dxa"/>
              <w:bottom w:w="70" w:type="dxa"/>
              <w:end w:w="85" w:type="dxa"/>
            </w:tcMar>
            <w:shd w:fill="F4F6F7"/>
          </w:tcPr>
          <w:p>
            <w:pPr>
              <w:spacing w:before="0" w:after="0"/>
            </w:pPr>
            <w:r/>
            <w:r>
              <w:rPr>
                <w:rFonts w:ascii="Aptos" w:hAnsi="Aptos"/>
                <w:b w:val="0"/>
                <w:color w:val="27343E"/>
                <w:sz w:val="14"/>
              </w:rPr>
              <w:t>Lifecycle impact assessment focused on individuals, groups and society.</w:t>
            </w:r>
          </w:p>
        </w:tc>
        <w:tc>
          <w:tcPr>
            <w:tcW w:type="dxa" w:w="1440"/>
            <w:vAlign w:val="center"/>
            <w:tcMar>
              <w:top w:w="70" w:type="dxa"/>
              <w:start w:w="85" w:type="dxa"/>
              <w:bottom w:w="70" w:type="dxa"/>
              <w:end w:w="85" w:type="dxa"/>
            </w:tcMar>
            <w:shd w:fill="F4F6F7"/>
          </w:tcPr>
          <w:p>
            <w:pPr>
              <w:spacing w:before="0" w:after="0"/>
            </w:pPr>
            <w:r/>
            <w:r>
              <w:rPr>
                <w:rFonts w:ascii="Aptos" w:hAnsi="Aptos"/>
                <w:b w:val="0"/>
                <w:color w:val="27343E"/>
                <w:sz w:val="14"/>
              </w:rPr>
              <w:t>Voluntary standard guidance</w:t>
            </w:r>
          </w:p>
        </w:tc>
      </w:tr>
      <w:tr>
        <w:tc>
          <w:tcPr>
            <w:tcW w:type="dxa" w:w="3816"/>
            <w:vAlign w:val="center"/>
            <w:tcMar>
              <w:top w:w="70" w:type="dxa"/>
              <w:start w:w="85" w:type="dxa"/>
              <w:bottom w:w="70" w:type="dxa"/>
              <w:end w:w="85" w:type="dxa"/>
            </w:tcMar>
          </w:tcPr>
          <w:p>
            <w:pPr>
              <w:spacing w:before="0" w:after="0"/>
            </w:pPr>
            <w:r/>
            <w:r>
              <w:rPr>
                <w:rFonts w:ascii="Aptos" w:hAnsi="Aptos"/>
                <w:b w:val="0"/>
                <w:color w:val="27343E"/>
                <w:sz w:val="14"/>
              </w:rPr>
              <w:t>EU AI Act — current consolidated text</w:t>
            </w:r>
          </w:p>
        </w:tc>
        <w:tc>
          <w:tcPr>
            <w:tcW w:type="dxa" w:w="4392"/>
            <w:vAlign w:val="center"/>
            <w:tcMar>
              <w:top w:w="70" w:type="dxa"/>
              <w:start w:w="85" w:type="dxa"/>
              <w:bottom w:w="70" w:type="dxa"/>
              <w:end w:w="85" w:type="dxa"/>
            </w:tcMar>
          </w:tcPr>
          <w:p>
            <w:pPr>
              <w:spacing w:before="0" w:after="0"/>
            </w:pPr>
            <w:r/>
            <w:r>
              <w:rPr>
                <w:rFonts w:ascii="Aptos" w:hAnsi="Aptos"/>
                <w:b w:val="0"/>
                <w:color w:val="27343E"/>
                <w:sz w:val="14"/>
              </w:rPr>
              <w:t>Separate legal screening for applicable mandatory duties; not used as an ethics score.</w:t>
            </w:r>
          </w:p>
        </w:tc>
        <w:tc>
          <w:tcPr>
            <w:tcW w:type="dxa" w:w="1440"/>
            <w:vAlign w:val="center"/>
            <w:tcMar>
              <w:top w:w="70" w:type="dxa"/>
              <w:start w:w="85" w:type="dxa"/>
              <w:bottom w:w="70" w:type="dxa"/>
              <w:end w:w="85" w:type="dxa"/>
            </w:tcMar>
          </w:tcPr>
          <w:p>
            <w:pPr>
              <w:spacing w:before="0" w:after="0"/>
            </w:pPr>
            <w:r/>
            <w:r>
              <w:rPr>
                <w:rFonts w:ascii="Aptos" w:hAnsi="Aptos"/>
                <w:b w:val="0"/>
                <w:color w:val="27343E"/>
                <w:sz w:val="14"/>
              </w:rPr>
              <w:t>Binding law where applicable</w:t>
            </w:r>
          </w:p>
        </w:tc>
      </w:tr>
      <w:tr>
        <w:tc>
          <w:tcPr>
            <w:tcW w:type="dxa" w:w="3816"/>
            <w:vAlign w:val="center"/>
            <w:tcMar>
              <w:top w:w="70" w:type="dxa"/>
              <w:start w:w="85" w:type="dxa"/>
              <w:bottom w:w="70" w:type="dxa"/>
              <w:end w:w="85" w:type="dxa"/>
            </w:tcMar>
            <w:shd w:fill="F4F6F7"/>
          </w:tcPr>
          <w:p>
            <w:pPr>
              <w:spacing w:before="0" w:after="0"/>
            </w:pPr>
            <w:r/>
            <w:r>
              <w:rPr>
                <w:rFonts w:ascii="Aptos" w:hAnsi="Aptos"/>
                <w:b w:val="0"/>
                <w:color w:val="27343E"/>
                <w:sz w:val="14"/>
              </w:rPr>
              <w:t>Duckworks AI Impact Assessment Pack</w:t>
            </w:r>
          </w:p>
        </w:tc>
        <w:tc>
          <w:tcPr>
            <w:tcW w:type="dxa" w:w="4392"/>
            <w:vAlign w:val="center"/>
            <w:tcMar>
              <w:top w:w="70" w:type="dxa"/>
              <w:start w:w="85" w:type="dxa"/>
              <w:bottom w:w="70" w:type="dxa"/>
              <w:end w:w="85" w:type="dxa"/>
            </w:tcMar>
            <w:shd w:fill="F4F6F7"/>
          </w:tcPr>
          <w:p>
            <w:pPr>
              <w:spacing w:before="0" w:after="0"/>
            </w:pPr>
            <w:r/>
            <w:r>
              <w:rPr>
                <w:rFonts w:ascii="Aptos" w:hAnsi="Aptos"/>
                <w:b w:val="0"/>
                <w:color w:val="27343E"/>
                <w:sz w:val="14"/>
              </w:rPr>
              <w:t>System-specific positive/adverse impacts, stakeholders, safeguards and current decisions.</w:t>
            </w:r>
          </w:p>
        </w:tc>
        <w:tc>
          <w:tcPr>
            <w:tcW w:type="dxa" w:w="1440"/>
            <w:vAlign w:val="center"/>
            <w:tcMar>
              <w:top w:w="70" w:type="dxa"/>
              <w:start w:w="85" w:type="dxa"/>
              <w:bottom w:w="70" w:type="dxa"/>
              <w:end w:w="85" w:type="dxa"/>
            </w:tcMar>
            <w:shd w:fill="F4F6F7"/>
          </w:tcPr>
          <w:p>
            <w:pPr>
              <w:spacing w:before="0" w:after="0"/>
            </w:pPr>
            <w:r/>
            <w:r>
              <w:rPr>
                <w:rFonts w:ascii="Aptos" w:hAnsi="Aptos"/>
                <w:b w:val="0"/>
                <w:color w:val="27343E"/>
                <w:sz w:val="14"/>
              </w:rPr>
              <w:t>Project evidence</w:t>
            </w:r>
          </w:p>
        </w:tc>
      </w:tr>
      <w:tr>
        <w:tc>
          <w:tcPr>
            <w:tcW w:type="dxa" w:w="3816"/>
            <w:vAlign w:val="center"/>
            <w:tcMar>
              <w:top w:w="70" w:type="dxa"/>
              <w:start w:w="85" w:type="dxa"/>
              <w:bottom w:w="70" w:type="dxa"/>
              <w:end w:w="85" w:type="dxa"/>
            </w:tcMar>
          </w:tcPr>
          <w:p>
            <w:pPr>
              <w:spacing w:before="0" w:after="0"/>
            </w:pPr>
            <w:r/>
            <w:r>
              <w:rPr>
                <w:rFonts w:ascii="Aptos" w:hAnsi="Aptos"/>
                <w:b w:val="0"/>
                <w:color w:val="27343E"/>
                <w:sz w:val="14"/>
              </w:rPr>
              <w:t>Duckworks AI Risk Methodology / Risk Report</w:t>
            </w:r>
          </w:p>
        </w:tc>
        <w:tc>
          <w:tcPr>
            <w:tcW w:type="dxa" w:w="4392"/>
            <w:vAlign w:val="center"/>
            <w:tcMar>
              <w:top w:w="70" w:type="dxa"/>
              <w:start w:w="85" w:type="dxa"/>
              <w:bottom w:w="70" w:type="dxa"/>
              <w:end w:w="85" w:type="dxa"/>
            </w:tcMar>
          </w:tcPr>
          <w:p>
            <w:pPr>
              <w:spacing w:before="0" w:after="0"/>
            </w:pPr>
            <w:r/>
            <w:r>
              <w:rPr>
                <w:rFonts w:ascii="Aptos" w:hAnsi="Aptos"/>
                <w:b w:val="0"/>
                <w:color w:val="27343E"/>
                <w:sz w:val="14"/>
              </w:rPr>
              <w:t>Risk scenarios, evidence confidence, control effectiveness, risk appetite and approval rules.</w:t>
            </w:r>
          </w:p>
        </w:tc>
        <w:tc>
          <w:tcPr>
            <w:tcW w:type="dxa" w:w="1440"/>
            <w:vAlign w:val="center"/>
            <w:tcMar>
              <w:top w:w="70" w:type="dxa"/>
              <w:start w:w="85" w:type="dxa"/>
              <w:bottom w:w="70" w:type="dxa"/>
              <w:end w:w="85" w:type="dxa"/>
            </w:tcMar>
          </w:tcPr>
          <w:p>
            <w:pPr>
              <w:spacing w:before="0" w:after="0"/>
            </w:pPr>
            <w:r/>
            <w:r>
              <w:rPr>
                <w:rFonts w:ascii="Aptos" w:hAnsi="Aptos"/>
                <w:b w:val="0"/>
                <w:color w:val="27343E"/>
                <w:sz w:val="14"/>
              </w:rPr>
              <w:t>Internal governance methodology</w:t>
            </w:r>
          </w:p>
        </w:tc>
      </w:tr>
      <w:tr>
        <w:tc>
          <w:tcPr>
            <w:tcW w:type="dxa" w:w="3816"/>
            <w:vAlign w:val="center"/>
            <w:tcMar>
              <w:top w:w="70" w:type="dxa"/>
              <w:start w:w="85" w:type="dxa"/>
              <w:bottom w:w="70" w:type="dxa"/>
              <w:end w:w="85" w:type="dxa"/>
            </w:tcMar>
            <w:shd w:fill="F4F6F7"/>
          </w:tcPr>
          <w:p>
            <w:pPr>
              <w:spacing w:before="0" w:after="0"/>
            </w:pPr>
            <w:r/>
            <w:r>
              <w:rPr>
                <w:rFonts w:ascii="Aptos" w:hAnsi="Aptos"/>
                <w:b w:val="0"/>
                <w:color w:val="27343E"/>
                <w:sz w:val="14"/>
              </w:rPr>
              <w:t>Duckworks Stakeholder Register / RACI / Responsible Use Policy</w:t>
            </w:r>
          </w:p>
        </w:tc>
        <w:tc>
          <w:tcPr>
            <w:tcW w:type="dxa" w:w="4392"/>
            <w:vAlign w:val="center"/>
            <w:tcMar>
              <w:top w:w="70" w:type="dxa"/>
              <w:start w:w="85" w:type="dxa"/>
              <w:bottom w:w="70" w:type="dxa"/>
              <w:end w:w="85" w:type="dxa"/>
            </w:tcMar>
            <w:shd w:fill="F4F6F7"/>
          </w:tcPr>
          <w:p>
            <w:pPr>
              <w:spacing w:before="0" w:after="0"/>
            </w:pPr>
            <w:r/>
            <w:r>
              <w:rPr>
                <w:rFonts w:ascii="Aptos" w:hAnsi="Aptos"/>
                <w:b w:val="0"/>
                <w:color w:val="27343E"/>
                <w:sz w:val="14"/>
              </w:rPr>
              <w:t>Ownership, affected stakeholders, specialist review, human oversight, evidence and escalation.</w:t>
            </w:r>
          </w:p>
        </w:tc>
        <w:tc>
          <w:tcPr>
            <w:tcW w:type="dxa" w:w="1440"/>
            <w:vAlign w:val="center"/>
            <w:tcMar>
              <w:top w:w="70" w:type="dxa"/>
              <w:start w:w="85" w:type="dxa"/>
              <w:bottom w:w="70" w:type="dxa"/>
              <w:end w:w="85" w:type="dxa"/>
            </w:tcMar>
            <w:shd w:fill="F4F6F7"/>
          </w:tcPr>
          <w:p>
            <w:pPr>
              <w:spacing w:before="0" w:after="0"/>
            </w:pPr>
            <w:r/>
            <w:r>
              <w:rPr>
                <w:rFonts w:ascii="Aptos" w:hAnsi="Aptos"/>
                <w:b w:val="0"/>
                <w:color w:val="27343E"/>
                <w:sz w:val="14"/>
              </w:rPr>
              <w:t>Internal governance</w:t>
            </w:r>
          </w:p>
        </w:tc>
      </w:tr>
      <w:tr>
        <w:tc>
          <w:tcPr>
            <w:tcW w:type="dxa" w:w="3816"/>
            <w:vAlign w:val="center"/>
            <w:tcMar>
              <w:top w:w="70" w:type="dxa"/>
              <w:start w:w="85" w:type="dxa"/>
              <w:bottom w:w="70" w:type="dxa"/>
              <w:end w:w="85" w:type="dxa"/>
            </w:tcMar>
          </w:tcPr>
          <w:p>
            <w:pPr>
              <w:spacing w:before="0" w:after="0"/>
            </w:pPr>
            <w:r/>
            <w:r>
              <w:rPr>
                <w:rFonts w:ascii="Aptos" w:hAnsi="Aptos"/>
                <w:b w:val="0"/>
                <w:color w:val="27343E"/>
                <w:sz w:val="14"/>
              </w:rPr>
              <w:t>Duckworks FRIA / DPIA / HUDERIA / Algorithmic Impact Assessment for DuckTalent</w:t>
            </w:r>
          </w:p>
        </w:tc>
        <w:tc>
          <w:tcPr>
            <w:tcW w:type="dxa" w:w="4392"/>
            <w:vAlign w:val="center"/>
            <w:tcMar>
              <w:top w:w="70" w:type="dxa"/>
              <w:start w:w="85" w:type="dxa"/>
              <w:bottom w:w="70" w:type="dxa"/>
              <w:end w:w="85" w:type="dxa"/>
            </w:tcMar>
          </w:tcPr>
          <w:p>
            <w:pPr>
              <w:spacing w:before="0" w:after="0"/>
            </w:pPr>
            <w:r/>
            <w:r>
              <w:rPr>
                <w:rFonts w:ascii="Aptos" w:hAnsi="Aptos"/>
                <w:b w:val="0"/>
                <w:color w:val="27343E"/>
                <w:sz w:val="14"/>
              </w:rPr>
              <w:t>Specialist rights/privacy/human-rights/algorithmic evidence reused without duplication.</w:t>
            </w:r>
          </w:p>
        </w:tc>
        <w:tc>
          <w:tcPr>
            <w:tcW w:type="dxa" w:w="1440"/>
            <w:vAlign w:val="center"/>
            <w:tcMar>
              <w:top w:w="70" w:type="dxa"/>
              <w:start w:w="85" w:type="dxa"/>
              <w:bottom w:w="70" w:type="dxa"/>
              <w:end w:w="85" w:type="dxa"/>
            </w:tcMar>
          </w:tcPr>
          <w:p>
            <w:pPr>
              <w:spacing w:before="0" w:after="0"/>
            </w:pPr>
            <w:r/>
            <w:r>
              <w:rPr>
                <w:rFonts w:ascii="Aptos" w:hAnsi="Aptos"/>
                <w:b w:val="0"/>
                <w:color w:val="27343E"/>
                <w:sz w:val="14"/>
              </w:rPr>
              <w:t>Companion assessments</w:t>
            </w:r>
          </w:p>
        </w:tc>
      </w:tr>
    </w:tbl>
    <w:p>
      <w:pPr>
        <w:spacing w:after="0"/>
      </w:pPr>
    </w:p>
    <w:p>
      <w:pPr>
        <w:pStyle w:val="Heading2"/>
      </w:pPr>
      <w:r>
        <w:t>21.1 Official public references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176"/>
            <w:vAlign w:val="center"/>
            <w:tcMar>
              <w:top w:w="70" w:type="dxa"/>
              <w:start w:w="85" w:type="dxa"/>
              <w:bottom w:w="70" w:type="dxa"/>
              <w:end w:w="85" w:type="dxa"/>
            </w:tcMar>
            <w:shd w:fill="173B57"/>
          </w:tcPr>
          <w:p>
            <w:pPr>
              <w:spacing w:before="0" w:after="0"/>
            </w:pPr>
            <w:r/>
            <w:r>
              <w:rPr>
                <w:rFonts w:ascii="Aptos" w:hAnsi="Aptos"/>
                <w:b/>
                <w:color w:val="FFFFFF"/>
                <w:sz w:val="14"/>
              </w:rPr>
              <w:t>Reference</w:t>
            </w:r>
          </w:p>
        </w:tc>
        <w:tc>
          <w:tcPr>
            <w:tcW w:type="dxa" w:w="5184"/>
            <w:vAlign w:val="center"/>
            <w:tcMar>
              <w:top w:w="70" w:type="dxa"/>
              <w:start w:w="85" w:type="dxa"/>
              <w:bottom w:w="70" w:type="dxa"/>
              <w:end w:w="85" w:type="dxa"/>
            </w:tcMar>
            <w:shd w:fill="173B57"/>
          </w:tcPr>
          <w:p>
            <w:pPr>
              <w:spacing w:before="0" w:after="0"/>
            </w:pPr>
            <w:r/>
            <w:r>
              <w:rPr>
                <w:rFonts w:ascii="Aptos" w:hAnsi="Aptos"/>
                <w:b/>
                <w:color w:val="FFFFFF"/>
                <w:sz w:val="14"/>
              </w:rPr>
              <w:t>Official URL</w:t>
            </w:r>
          </w:p>
        </w:tc>
      </w:tr>
      <w:tr>
        <w:tc>
          <w:tcPr>
            <w:tcW w:type="dxa" w:w="4176"/>
            <w:vAlign w:val="center"/>
            <w:tcMar>
              <w:top w:w="70" w:type="dxa"/>
              <w:start w:w="85" w:type="dxa"/>
              <w:bottom w:w="70" w:type="dxa"/>
              <w:end w:w="85" w:type="dxa"/>
            </w:tcMar>
          </w:tcPr>
          <w:p>
            <w:pPr>
              <w:spacing w:before="0" w:after="0"/>
            </w:pPr>
            <w:r/>
            <w:r>
              <w:rPr>
                <w:rFonts w:ascii="Aptos" w:hAnsi="Aptos"/>
                <w:b w:val="0"/>
                <w:color w:val="27343E"/>
                <w:sz w:val="14"/>
              </w:rPr>
              <w:t>European Commission Ethics Guidelines for Trustworthy AI</w:t>
            </w:r>
          </w:p>
        </w:tc>
        <w:tc>
          <w:tcPr>
            <w:tcW w:type="dxa" w:w="5184"/>
            <w:vAlign w:val="center"/>
            <w:tcMar>
              <w:top w:w="70" w:type="dxa"/>
              <w:start w:w="85" w:type="dxa"/>
              <w:bottom w:w="70" w:type="dxa"/>
              <w:end w:w="85" w:type="dxa"/>
            </w:tcMar>
          </w:tcPr>
          <w:p>
            <w:pPr>
              <w:spacing w:before="0" w:after="0"/>
            </w:pPr>
            <w:r/>
            <w:r>
              <w:rPr>
                <w:rFonts w:ascii="Aptos" w:hAnsi="Aptos"/>
                <w:b w:val="0"/>
                <w:color w:val="27343E"/>
                <w:sz w:val="14"/>
              </w:rPr>
              <w:t>https://digital-strategy.ec.europa.eu/en/library/ethics-guidelines-trustworthy-ai</w:t>
            </w:r>
          </w:p>
        </w:tc>
      </w:tr>
      <w:tr>
        <w:tc>
          <w:tcPr>
            <w:tcW w:type="dxa" w:w="4176"/>
            <w:vAlign w:val="center"/>
            <w:tcMar>
              <w:top w:w="70" w:type="dxa"/>
              <w:start w:w="85" w:type="dxa"/>
              <w:bottom w:w="70" w:type="dxa"/>
              <w:end w:w="85" w:type="dxa"/>
            </w:tcMar>
            <w:shd w:fill="F4F6F7"/>
          </w:tcPr>
          <w:p>
            <w:pPr>
              <w:spacing w:before="0" w:after="0"/>
            </w:pPr>
            <w:r/>
            <w:r>
              <w:rPr>
                <w:rFonts w:ascii="Aptos" w:hAnsi="Aptos"/>
                <w:b w:val="0"/>
                <w:color w:val="27343E"/>
                <w:sz w:val="14"/>
              </w:rPr>
              <w:t>European Commission ALTAI</w:t>
            </w:r>
          </w:p>
        </w:tc>
        <w:tc>
          <w:tcPr>
            <w:tcW w:type="dxa" w:w="5184"/>
            <w:vAlign w:val="center"/>
            <w:tcMar>
              <w:top w:w="70" w:type="dxa"/>
              <w:start w:w="85" w:type="dxa"/>
              <w:bottom w:w="70" w:type="dxa"/>
              <w:end w:w="85" w:type="dxa"/>
            </w:tcMar>
            <w:shd w:fill="F4F6F7"/>
          </w:tcPr>
          <w:p>
            <w:pPr>
              <w:spacing w:before="0" w:after="0"/>
            </w:pPr>
            <w:r/>
            <w:r>
              <w:rPr>
                <w:rFonts w:ascii="Aptos" w:hAnsi="Aptos"/>
                <w:b w:val="0"/>
                <w:color w:val="27343E"/>
                <w:sz w:val="14"/>
              </w:rPr>
              <w:t>https://digital-strategy.ec.europa.eu/en/library/assessment-list-trustworthy-artificial-intelligence-altai-self-assessment</w:t>
            </w:r>
          </w:p>
        </w:tc>
      </w:tr>
      <w:tr>
        <w:tc>
          <w:tcPr>
            <w:tcW w:type="dxa" w:w="4176"/>
            <w:vAlign w:val="center"/>
            <w:tcMar>
              <w:top w:w="70" w:type="dxa"/>
              <w:start w:w="85" w:type="dxa"/>
              <w:bottom w:w="70" w:type="dxa"/>
              <w:end w:w="85" w:type="dxa"/>
            </w:tcMar>
          </w:tcPr>
          <w:p>
            <w:pPr>
              <w:spacing w:before="0" w:after="0"/>
            </w:pPr>
            <w:r/>
            <w:r>
              <w:rPr>
                <w:rFonts w:ascii="Aptos" w:hAnsi="Aptos"/>
                <w:b w:val="0"/>
                <w:color w:val="27343E"/>
                <w:sz w:val="14"/>
              </w:rPr>
              <w:t>OECD AI Principles</w:t>
            </w:r>
          </w:p>
        </w:tc>
        <w:tc>
          <w:tcPr>
            <w:tcW w:type="dxa" w:w="5184"/>
            <w:vAlign w:val="center"/>
            <w:tcMar>
              <w:top w:w="70" w:type="dxa"/>
              <w:start w:w="85" w:type="dxa"/>
              <w:bottom w:w="70" w:type="dxa"/>
              <w:end w:w="85" w:type="dxa"/>
            </w:tcMar>
          </w:tcPr>
          <w:p>
            <w:pPr>
              <w:spacing w:before="0" w:after="0"/>
            </w:pPr>
            <w:r/>
            <w:r>
              <w:rPr>
                <w:rFonts w:ascii="Aptos" w:hAnsi="Aptos"/>
                <w:b w:val="0"/>
                <w:color w:val="27343E"/>
                <w:sz w:val="14"/>
              </w:rPr>
              <w:t>https://oecd.ai/en/ai-principles</w:t>
            </w:r>
          </w:p>
        </w:tc>
      </w:tr>
      <w:tr>
        <w:tc>
          <w:tcPr>
            <w:tcW w:type="dxa" w:w="4176"/>
            <w:vAlign w:val="center"/>
            <w:tcMar>
              <w:top w:w="70" w:type="dxa"/>
              <w:start w:w="85" w:type="dxa"/>
              <w:bottom w:w="70" w:type="dxa"/>
              <w:end w:w="85" w:type="dxa"/>
            </w:tcMar>
            <w:shd w:fill="F4F6F7"/>
          </w:tcPr>
          <w:p>
            <w:pPr>
              <w:spacing w:before="0" w:after="0"/>
            </w:pPr>
            <w:r/>
            <w:r>
              <w:rPr>
                <w:rFonts w:ascii="Aptos" w:hAnsi="Aptos"/>
                <w:b w:val="0"/>
                <w:color w:val="27343E"/>
                <w:sz w:val="14"/>
              </w:rPr>
              <w:t>NIST AI RMF</w:t>
            </w:r>
          </w:p>
        </w:tc>
        <w:tc>
          <w:tcPr>
            <w:tcW w:type="dxa" w:w="5184"/>
            <w:vAlign w:val="center"/>
            <w:tcMar>
              <w:top w:w="70" w:type="dxa"/>
              <w:start w:w="85" w:type="dxa"/>
              <w:bottom w:w="70" w:type="dxa"/>
              <w:end w:w="85" w:type="dxa"/>
            </w:tcMar>
            <w:shd w:fill="F4F6F7"/>
          </w:tcPr>
          <w:p>
            <w:pPr>
              <w:spacing w:before="0" w:after="0"/>
            </w:pPr>
            <w:r/>
            <w:r>
              <w:rPr>
                <w:rFonts w:ascii="Aptos" w:hAnsi="Aptos"/>
                <w:b w:val="0"/>
                <w:color w:val="27343E"/>
                <w:sz w:val="14"/>
              </w:rPr>
              <w:t>https://www.nist.gov/itl/ai-risk-management-framework</w:t>
            </w:r>
          </w:p>
        </w:tc>
      </w:tr>
      <w:tr>
        <w:tc>
          <w:tcPr>
            <w:tcW w:type="dxa" w:w="4176"/>
            <w:vAlign w:val="center"/>
            <w:tcMar>
              <w:top w:w="70" w:type="dxa"/>
              <w:start w:w="85" w:type="dxa"/>
              <w:bottom w:w="70" w:type="dxa"/>
              <w:end w:w="85" w:type="dxa"/>
            </w:tcMar>
          </w:tcPr>
          <w:p>
            <w:pPr>
              <w:spacing w:before="0" w:after="0"/>
            </w:pPr>
            <w:r/>
            <w:r>
              <w:rPr>
                <w:rFonts w:ascii="Aptos" w:hAnsi="Aptos"/>
                <w:b w:val="0"/>
                <w:color w:val="27343E"/>
                <w:sz w:val="14"/>
              </w:rPr>
              <w:t>NIST trustworthy AI characteristics</w:t>
            </w:r>
          </w:p>
        </w:tc>
        <w:tc>
          <w:tcPr>
            <w:tcW w:type="dxa" w:w="5184"/>
            <w:vAlign w:val="center"/>
            <w:tcMar>
              <w:top w:w="70" w:type="dxa"/>
              <w:start w:w="85" w:type="dxa"/>
              <w:bottom w:w="70" w:type="dxa"/>
              <w:end w:w="85" w:type="dxa"/>
            </w:tcMar>
          </w:tcPr>
          <w:p>
            <w:pPr>
              <w:spacing w:before="0" w:after="0"/>
            </w:pPr>
            <w:r/>
            <w:r>
              <w:rPr>
                <w:rFonts w:ascii="Aptos" w:hAnsi="Aptos"/>
                <w:b w:val="0"/>
                <w:color w:val="27343E"/>
                <w:sz w:val="14"/>
              </w:rPr>
              <w:t>https://airc.nist.gov/airmf-resources/airmf/3-sec-characteristics/</w:t>
            </w:r>
          </w:p>
        </w:tc>
      </w:tr>
      <w:tr>
        <w:tc>
          <w:tcPr>
            <w:tcW w:type="dxa" w:w="4176"/>
            <w:vAlign w:val="center"/>
            <w:tcMar>
              <w:top w:w="70" w:type="dxa"/>
              <w:start w:w="85" w:type="dxa"/>
              <w:bottom w:w="70" w:type="dxa"/>
              <w:end w:w="85" w:type="dxa"/>
            </w:tcMar>
            <w:shd w:fill="F4F6F7"/>
          </w:tcPr>
          <w:p>
            <w:pPr>
              <w:spacing w:before="0" w:after="0"/>
            </w:pPr>
            <w:r/>
            <w:r>
              <w:rPr>
                <w:rFonts w:ascii="Aptos" w:hAnsi="Aptos"/>
                <w:b w:val="0"/>
                <w:color w:val="27343E"/>
                <w:sz w:val="14"/>
              </w:rPr>
              <w:t>ISO/IEC 42005:2025</w:t>
            </w:r>
          </w:p>
        </w:tc>
        <w:tc>
          <w:tcPr>
            <w:tcW w:type="dxa" w:w="5184"/>
            <w:vAlign w:val="center"/>
            <w:tcMar>
              <w:top w:w="70" w:type="dxa"/>
              <w:start w:w="85" w:type="dxa"/>
              <w:bottom w:w="70" w:type="dxa"/>
              <w:end w:w="85" w:type="dxa"/>
            </w:tcMar>
            <w:shd w:fill="F4F6F7"/>
          </w:tcPr>
          <w:p>
            <w:pPr>
              <w:spacing w:before="0" w:after="0"/>
            </w:pPr>
            <w:r/>
            <w:r>
              <w:rPr>
                <w:rFonts w:ascii="Aptos" w:hAnsi="Aptos"/>
                <w:b w:val="0"/>
                <w:color w:val="27343E"/>
                <w:sz w:val="14"/>
              </w:rPr>
              <w:t>https://www.iso.org/standard/42005</w:t>
            </w:r>
          </w:p>
        </w:tc>
      </w:tr>
      <w:tr>
        <w:tc>
          <w:tcPr>
            <w:tcW w:type="dxa" w:w="4176"/>
            <w:vAlign w:val="center"/>
            <w:tcMar>
              <w:top w:w="70" w:type="dxa"/>
              <w:start w:w="85" w:type="dxa"/>
              <w:bottom w:w="70" w:type="dxa"/>
              <w:end w:w="85" w:type="dxa"/>
            </w:tcMar>
          </w:tcPr>
          <w:p>
            <w:pPr>
              <w:spacing w:before="0" w:after="0"/>
            </w:pPr>
            <w:r/>
            <w:r>
              <w:rPr>
                <w:rFonts w:ascii="Aptos" w:hAnsi="Aptos"/>
                <w:b w:val="0"/>
                <w:color w:val="27343E"/>
                <w:sz w:val="14"/>
              </w:rPr>
              <w:t>EU AI Act consolidated working text</w:t>
            </w:r>
          </w:p>
        </w:tc>
        <w:tc>
          <w:tcPr>
            <w:tcW w:type="dxa" w:w="5184"/>
            <w:vAlign w:val="center"/>
            <w:tcMar>
              <w:top w:w="70" w:type="dxa"/>
              <w:start w:w="85" w:type="dxa"/>
              <w:bottom w:w="70" w:type="dxa"/>
              <w:end w:w="85" w:type="dxa"/>
            </w:tcMar>
          </w:tcPr>
          <w:p>
            <w:pPr>
              <w:spacing w:before="0" w:after="0"/>
            </w:pPr>
            <w:r/>
            <w:r>
              <w:rPr>
                <w:rFonts w:ascii="Aptos" w:hAnsi="Aptos"/>
                <w:b w:val="0"/>
                <w:color w:val="27343E"/>
                <w:sz w:val="14"/>
              </w:rPr>
              <w:t>https://eur-lex.europa.eu/legal-content/EN/TXT/HTML/?uri=CELEX:02024R1689-20260727</w:t>
            </w:r>
          </w:p>
        </w:tc>
      </w:tr>
    </w:tbl>
    <w:p>
      <w:pPr>
        <w:spacing w:after="0"/>
      </w:pPr>
    </w:p>
    <w:p>
      <w:pPr>
        <w:pStyle w:val="Heading1"/>
      </w:pPr>
      <w:r>
        <w:t>22. Final Portfolio Position</w:t>
      </w:r>
    </w:p>
    <w:p>
      <w:pPr>
        <w:spacing w:after="100" w:line="247" w:lineRule="auto"/>
      </w:pPr>
      <w:r>
        <w:t>Duckworks can pursue controlled AI adoption, but ethical governance must remain proportionate to the consequences of the use case rather than the novelty of the technology. The portfolio's central ethical control is not a generic 'human in the loop' statement; it is demonstrable human agency, contestability, evidence, and accountability at the points where AI can materially affect people, safety or organizational decisions.</w:t>
      </w:r>
    </w:p>
    <w:p>
      <w:pPr>
        <w:spacing w:after="100" w:line="247" w:lineRule="auto"/>
      </w:pPr>
      <w:r>
        <w:t>The highest priority is DuckTalent: access to employment, discrimination risk, applicant dignity, accessibility and contestability make the current concept ethically unacceptable for real deployment until the blocking evidence and safeguards are complete. AI-007 presents a different but equally severe problem: ethical accountability cannot operate where the organization does not know what AI is being used, for what purpose, with what data or by which provider.</w:t>
      </w:r>
    </w:p>
    <w:p>
      <w:pPr>
        <w:spacing w:after="100" w:line="247" w:lineRule="auto"/>
      </w:pPr>
      <w:r>
        <w:t>For the remaining systems, ethical acceptability depends on preserving current boundaries: competent engineer/inspector/manager authority, safe escalation to people, permission-aware data access, transparent AI use, proportional monitoring, and the ability to stop or reassess the system when context changes.</w:t>
      </w:r>
    </w:p>
    <w:p>
      <w:pPr>
        <w:pStyle w:val="Heading1"/>
      </w:pPr>
      <w:r>
        <w:t>Portfolio Disclaimer</w:t>
      </w:r>
    </w:p>
    <w:p>
      <w:pPr>
        <w:spacing w:after="100" w:line="247" w:lineRule="auto"/>
      </w:pPr>
      <w:r>
        <w:t>Duckworks, Project W.I.N.G., all personnel, AI systems, datasets, stakeholders, incidents, findings, controls, scores and decisions in this assessment are fictional and created solely for educational and professional portfolio purposes. No real individual, employer, candidate, customer, supplier or production data is assessed.</w:t>
      </w:r>
    </w:p>
    <w:p>
      <w:pPr>
        <w:spacing w:after="100" w:line="247" w:lineRule="auto"/>
      </w:pPr>
      <w:r>
        <w:t>This document is not legal advice, a regulatory conformity assessment, a GDPR DPIA, a mandatory EU AI Act fundamental-rights impact assessment, ISO certification evidence or independent assurance. Its ethical priorities are Duckworks internal governance judgments informed by public voluntary guidance and the stated fictional project evidence.</w:t>
      </w:r>
    </w:p>
    <w:sectPr w:rsidR="00FC693F" w:rsidRPr="0006063C" w:rsidSect="00034616">
      <w:headerReference w:type="default" r:id="rId9"/>
      <w:footerReference w:type="default" r:id="rId10"/>
      <w:pgSz w:w="12240" w:h="15840"/>
      <w:pgMar w:top="893" w:right="1008" w:bottom="864" w:left="1008"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5"/>
      </w:rPr>
      <w:t xml:space="preserve">DW-WING-ETH-01  |  Version 1.0  |  Fictional portfolio project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2D6F6D"/>
        <w:sz w:val="16"/>
      </w:rPr>
      <w:t>DUCKWORKS  |  PROJECT W.I.N.G.  |  AI ETHICAL IMPACT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7" w:lineRule="auto"/>
    </w:pPr>
    <w:rPr>
      <w:rFonts w:ascii="Aptos" w:hAnsi="Aptos"/>
      <w:color w:val="2734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B57"/>
      <w:sz w:val="31"/>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D6F6D"/>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2D6F6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B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AI Ethical Impact Assessment</dc:title>
  <dc:subject>AI ethical impact assessment across Duckworks Project W.I.N.G.</dc:subject>
  <dc:creator>Duckworks (fictional)</dc:creator>
  <cp:keywords>Duckworks, Project W.I.N.G., ethical impact assessment, trustworthy AI, ALTAI, OECD AI Principles, NIST AI RMF, ISO 42005</cp:keywords>
  <dc:description>Fictional portfolio project using synthetic data and public sources.</dc:description>
  <cp:lastModifiedBy/>
  <cp:revision>1</cp:revision>
  <dcterms:created xsi:type="dcterms:W3CDTF">2013-12-23T23:15:00Z</dcterms:created>
  <dcterms:modified xsi:type="dcterms:W3CDTF">2013-12-23T23:15:00Z</dcterms:modified>
  <cp:category/>
</cp:coreProperties>
</file>