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DUCKWORKS</w:t>
        <w:br/>
      </w:r>
      <w:r>
        <w:rPr>
          <w:color w:val="17324D"/>
          <w:sz w:val="46"/>
        </w:rPr>
        <w:t>HUDERIA Applicability &amp; Portfolio Triage</w:t>
      </w:r>
    </w:p>
    <w:p>
      <w:pPr>
        <w:spacing w:after="200"/>
      </w:pPr>
      <w:r>
        <w:rPr>
          <w:b/>
          <w:color w:val="0F6B72"/>
          <w:sz w:val="23"/>
        </w:rPr>
        <w:t>Initial proportionality decision across the seven Duckworks AI entries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4"/>
          </w:tcPr>
          <w:p>
            <w:r/>
            <w:r>
              <w:rPr>
                <w:rFonts w:ascii="Liberation Sans" w:hAnsi="Liberation Sans"/>
                <w:b/>
                <w:color w:val="17324D"/>
                <w:sz w:val="17"/>
              </w:rPr>
              <w:t>Document ID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DW-WING-HUD-01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4"/>
          </w:tcPr>
          <w:p>
            <w:r/>
            <w:r>
              <w:rPr>
                <w:rFonts w:ascii="Liberation Sans" w:hAnsi="Liberation Sans"/>
                <w:b/>
                <w:color w:val="17324D"/>
                <w:sz w:val="17"/>
              </w:rPr>
              <w:t>Version / date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1.0 / 9 August 2026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4"/>
          </w:tcPr>
          <w:p>
            <w:r/>
            <w:r>
              <w:rPr>
                <w:rFonts w:ascii="Liberation Sans" w:hAnsi="Liberation Sans"/>
                <w:b/>
                <w:color w:val="17324D"/>
                <w:sz w:val="17"/>
              </w:rPr>
              <w:t>Status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Portfolio Draft</w:t>
            </w:r>
          </w:p>
        </w:tc>
      </w:tr>
      <w:tr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EAF2F4"/>
          </w:tcPr>
          <w:p>
            <w:r/>
            <w:r>
              <w:rPr>
                <w:rFonts w:ascii="Liberation Sans" w:hAnsi="Liberation Sans"/>
                <w:b/>
                <w:color w:val="17324D"/>
                <w:sz w:val="17"/>
              </w:rPr>
              <w:t>Classification</w:t>
            </w:r>
          </w:p>
        </w:tc>
        <w:tc>
          <w:tcPr>
            <w:tcW w:type="dxa" w:w="50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7"/>
              </w:rPr>
              <w:t>Portfolio / Synthetic / Non-production</w:t>
            </w:r>
          </w:p>
        </w:tc>
      </w:tr>
    </w:tbl>
    <w:p/>
    <w:p>
      <w:r>
        <w:rPr>
          <w:b/>
          <w:color w:val="9C2F2F"/>
        </w:rPr>
        <w:t xml:space="preserve">Portfolio disclaimer. </w:t>
      </w:r>
      <w:r>
        <w:t>Duckworks, Project W.I.N.G., all personnel, AI systems, datasets, decisions, stakeholder inputs and evidence are fictional or synthetic. This document is an internal portfolio artifact, not legal advice, certification evidence, or a statement of regulatory conformity.</w:t>
      </w:r>
    </w:p>
    <w:p>
      <w:pPr>
        <w:pStyle w:val="Heading1"/>
      </w:pPr>
      <w:r>
        <w:t>1. Purpose and Method</w:t>
      </w:r>
    </w:p>
    <w:p>
      <w:r>
        <w:t>This is a Duckworks internal triage record informed by the HUDERIA COBRA approach. HUDERIA does not prescribe a mandatory scoring formula or fixed risk tiers; the descriptors below are Duckworks governance labels used only to decide the depth of subsequent HUDERIA activity.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allout"/>
            </w:pPr>
            <w:r/>
            <w:r>
              <w:rPr>
                <w:b/>
                <w:color w:val="17324D"/>
              </w:rPr>
              <w:t xml:space="preserve">Triage principle. </w:t>
            </w:r>
            <w:r>
              <w:t>A system with limited or unlikely human-rights impact may stop after COBRA, while a system with significant potential impacts should proceed to stakeholder engagement, detailed risk and impact assessment, mitigation planning, and iterative review. A system judged incompatible with respect for human rights, democracy or the rule of law should not proceed merely because its business value is high.</w:t>
            </w:r>
          </w:p>
        </w:tc>
      </w:tr>
    </w:tbl>
    <w:p>
      <w:pPr>
        <w:spacing w:after="0"/>
      </w:pPr>
    </w:p>
    <w:p>
      <w:pPr>
        <w:pStyle w:val="Heading1"/>
      </w:pPr>
      <w:r>
        <w:t>2. Triage Descriptors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Descriptor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Duckworks interpretation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Limited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No material direct impact identified under the current intended purpose; monitor for material change.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Material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Plausible rights impact requiring targeted controls and potentially a focused RIA.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Significant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High-impact function, safety/rights implications, broad scope, or consequential decision proximity; detailed HUDERIA activities expected.</w:t>
            </w:r>
          </w:p>
        </w:tc>
      </w:tr>
      <w:tr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Severe</w:t>
            </w:r>
          </w:p>
        </w:tc>
        <w:tc>
          <w:tcPr>
            <w:tcW w:type="dxa" w:w="73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6"/>
              </w:rPr>
              <w:t>Potentially grave or systemic impact, difficult reversibility, vulnerable groups, high decision proximity, or evidence gaps incompatible with deployment; full HUDERIA and blocking governance action.</w:t>
            </w:r>
          </w:p>
        </w:tc>
      </w:tr>
    </w:tbl>
    <w:p>
      <w:pPr>
        <w:spacing w:after="0"/>
      </w:pPr>
    </w:p>
    <w:p>
      <w:pPr>
        <w:pStyle w:val="Heading1"/>
      </w:pPr>
      <w:r>
        <w:t>3. Portfolio Triage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ID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System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HUDERIA triage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Affected parties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Primary HR/DR/Rule-of-law concern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24D"/>
          </w:tcPr>
          <w:p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Required next step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AI-001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DuckDesign AI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Significant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Product users; engineers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Physical integrity/dignity if unsafe design recommendations influence product outcomes; IP/privacy secondary.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Focused full HUDERIA before production design reliance; retain competent engineer validation.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AI-002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QuackBot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Material / Significant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Customers; product users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Privacy, access to accurate information, dignity/autonomy, accessibility; safety relevance where troubleshooting is relied upon.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COBRA + targeted SEP/RIA before external production; escalate to full assessment for safety-relevant guidance.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AI-003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FeatherForecast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Limited / Material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Supply-chain staff; suppliers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Primarily operational/financial; indirect labour and supplier impacts possible if decision automation or workforce effects increase.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COBRA sufficient at current boundary; full RIA only on material change.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AI-004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WingInspect Vision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Significant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Product users; inspectors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Physical integrity and safety if false negatives permit defective products; operator autonomy and accountability.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Focused full HUDERIA before safety-critical reliance; human inspector remains final authority.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AI-005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DuckTalent AI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Severe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Applicants; internal candidates; recruiters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Labour/employment, equality/non-discrimination, privacy/data protection, dignity, accessibility, effective challenge/remedy.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Full HUDERIA now. Current gate remains DO NOT DEPLOY.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AI-006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PondGPT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Material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Employees; internal stakeholders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Employee privacy, confidentiality, autonomy, accessibility, information quality; higher impact if used in HR/performance decisions.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5F7F9"/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COBRA + targeted RIA before broad production; re-triage if used for consequential people decisions.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AI-007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Unregistered GenAI Usage</w:t>
            </w:r>
          </w:p>
        </w:tc>
        <w:tc>
          <w:tcPr>
            <w:tcW w:type="dxa" w:w="12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Cannot be validly triaged as one system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Employees; customers; applicants; other unknown groups</w:t>
            </w:r>
          </w:p>
        </w:tc>
        <w:tc>
          <w:tcPr>
            <w:tcW w:type="dxa" w:w="33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Unknown purposes, providers, data, decision roles and affected persons prevent a defensible HUDERIA analysis.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Liberation Sans" w:hAnsi="Liberation Sans"/>
                <w:b w:val="0"/>
                <w:sz w:val="14"/>
              </w:rPr>
              <w:t>Discover, contain and decompose into individual use cases; perform COBRA on each material use.</w:t>
            </w:r>
          </w:p>
        </w:tc>
      </w:tr>
    </w:tbl>
    <w:p>
      <w:pPr>
        <w:spacing w:after="0"/>
      </w:pPr>
    </w:p>
    <w:p>
      <w:pPr>
        <w:pStyle w:val="Heading1"/>
      </w:pPr>
      <w:r>
        <w:t>4. Triage Rationale for DuckTalent</w:t>
      </w:r>
    </w:p>
    <w:p>
      <w:pPr>
        <w:pStyle w:val="ListBullet"/>
        <w:spacing w:after="40"/>
      </w:pPr>
      <w:r>
        <w:t>The system substantially informs access to employment and therefore sits close to a consequential decision pathway.</w:t>
      </w:r>
    </w:p>
    <w:p>
      <w:pPr>
        <w:pStyle w:val="ListBullet"/>
        <w:spacing w:after="40"/>
      </w:pPr>
      <w:r>
        <w:t>Applicants may include groups exposed to historical or structural disadvantage, creating material equality and non-discrimination concerns.</w:t>
      </w:r>
    </w:p>
    <w:p>
      <w:pPr>
        <w:pStyle w:val="ListBullet"/>
        <w:spacing w:after="40"/>
      </w:pPr>
      <w:r>
        <w:t>The system processes personal information and may infer or use proxies that affect privacy, dignity, and fairness.</w:t>
      </w:r>
    </w:p>
    <w:p>
      <w:pPr>
        <w:pStyle w:val="ListBullet"/>
        <w:spacing w:after="40"/>
      </w:pPr>
      <w:r>
        <w:t>Errors can be repeated at scale across multiple recruitment rounds, making scope and cumulative effects important.</w:t>
      </w:r>
    </w:p>
    <w:p>
      <w:pPr>
        <w:pStyle w:val="ListBullet"/>
        <w:spacing w:after="40"/>
      </w:pPr>
      <w:r>
        <w:t>A rejected or deprioritized opportunity may be difficult to fully restore after recruitment has closed, increasing reversibility concerns.</w:t>
      </w:r>
    </w:p>
    <w:p>
      <w:pPr>
        <w:pStyle w:val="ListBullet"/>
        <w:spacing w:after="40"/>
      </w:pPr>
      <w:r>
        <w:t>Existing fairness, accessibility, vendor/model, and human-oversight operating evidence remains incomplete.</w:t>
      </w:r>
    </w:p>
    <w:p>
      <w:pPr>
        <w:pStyle w:val="Heading1"/>
      </w:pPr>
      <w:r>
        <w:t>5. Triage Decision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allout"/>
            </w:pPr>
            <w:r/>
            <w:r>
              <w:rPr>
                <w:b/>
                <w:color w:val="17324D"/>
              </w:rPr>
              <w:t xml:space="preserve">Decision. </w:t>
            </w:r>
            <w:r>
              <w:t>AI-005 DuckTalent proceeds to the complete Duckworks HUDERIA sequence. AI-001 and AI-004 require focused full assessments before production/safety-critical reliance. AI-002 and AI-006 require targeted assessments at their release gates. AI-003 remains on COBRA-level monitoring. AI-007 must first be decomposed.</w:t>
            </w:r>
          </w:p>
        </w:tc>
      </w:tr>
    </w:tbl>
    <w:p>
      <w:pPr>
        <w:spacing w:after="0"/>
      </w:pPr>
    </w:p>
    <w:p>
      <w:pPr>
        <w:pStyle w:val="Heading1"/>
      </w:pPr>
      <w:r>
        <w:t>Source Basis</w:t>
      </w:r>
    </w:p>
    <w:p>
      <w:pPr>
        <w:pStyle w:val="ListBullet"/>
        <w:spacing w:after="40"/>
      </w:pPr>
      <w:r>
        <w:t>Council of Europe, HUDERIA - Methodology and Model (2026), approved Methodology 26 February 2025 and Model: COBRA 25 February 2026; official consolidated publication dated April 2026.</w:t>
      </w:r>
    </w:p>
    <w:p>
      <w:pPr>
        <w:pStyle w:val="ListBullet"/>
        <w:spacing w:after="40"/>
      </w:pPr>
      <w:r>
        <w:t>Council of Europe official HUDERIA webpage and Framework Convention on Artificial Intelligence and Human Rights, Democracy and the Rule of Law webpage.</w:t>
      </w:r>
    </w:p>
    <w:p>
      <w:pPr>
        <w:pStyle w:val="ListBullet"/>
        <w:spacing w:after="40"/>
      </w:pPr>
      <w:r>
        <w:t>Duckworks controlled project artifacts: Business Scenario; Business Use Case Portfolio; Stakeholder Register; Assumptions Register; AI Risk Classification &amp; Assessment Methodology; AI RACI; AI Governance Lifecycle SOP; Algorithmic Impact Assessment; EU FRIA; GDPR DPIA; Acceptance Criteria.</w:t>
      </w:r>
    </w:p>
    <w:p>
      <w:r>
        <w:rPr>
          <w:b/>
        </w:rPr>
        <w:t xml:space="preserve">Official HUDERIA publication: </w:t>
      </w:r>
      <w:r>
        <w:t>https://rm.coe.int/prems-002726-gbr-2006-huderia-texte-web-a4/48802ba7b1</w:t>
      </w:r>
    </w:p>
    <w:p>
      <w:r>
        <w:rPr>
          <w:b/>
        </w:rPr>
        <w:t xml:space="preserve">Official HUDERIA page: </w:t>
      </w:r>
      <w:r>
        <w:t>https://www.coe.int/en/web/artificial-intelligence/huderia-risk-and-impact-assessment-of-ai-systems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Liberation Sans" w:hAnsi="Liberation Sans"/>
        <w:color w:val="5C6770"/>
        <w:sz w:val="15"/>
      </w:rPr>
      <w:t>DW-WING-HUD-01 | Version 1.0 | Fictional portfolio / synthetic / non-production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Liberation Sans" w:hAnsi="Liberation Sans"/>
        <w:b/>
        <w:color w:val="0F6B72"/>
        <w:sz w:val="16"/>
      </w:rPr>
      <w:t>DUCKWORKS | PROJECT W.I.N.G. | HUDERIA PORTFOLIO TRIAGE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F6B7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00"/>
      <w:ind w:left="259" w:right="259"/>
    </w:pPr>
    <w:rPr>
      <w:rFonts w:ascii="Liberation Sans" w:hAnsi="Liberation Sans"/>
      <w:b/>
      <w:color w:val="17324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