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Assessment Pack</w:t>
      </w:r>
    </w:p>
    <w:p>
      <w:pPr>
        <w:spacing w:after="200"/>
      </w:pPr>
      <w:r>
        <w:rPr>
          <w:b/>
          <w:color w:val="0F6B72"/>
          <w:sz w:val="23"/>
        </w:rPr>
        <w:t>Implementation map and controlled document index</w:t>
      </w:r>
    </w:p>
    <w:tbl>
      <w:tblPr>
        <w:tblW w:type="auto" w:w="0"/>
        <w:jc w:val="left"/>
        <w:tblLayout w:type="autofit"/>
        <w:tblLook w:firstColumn="1" w:firstRow="1" w:lastColumn="0" w:lastRow="0" w:noHBand="0" w:noVBand="1" w:val="04A0"/>
      </w:tblPr>
      <w:tblGrid>
        <w:gridCol w:w="5083"/>
        <w:gridCol w:w="5083"/>
      </w:tblGrid>
      <w:t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DW-WING-HUD-00</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Portfolio Draft</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Purpose</w:t>
      </w:r>
    </w:p>
    <w:p>
      <w:r>
        <w:t>This pack translates the Council of Europe HUDERIA Methodology and the 2026 HUDERIA Model: Context-Based Risk Analysis (COBRA) Resources into a practical Duckworks evidence set. It is structured to complement, rather than replace, the existing Duckworks AIA, EU FRIA, GDPR DPIA, enterprise risk assessment, security review, and lifecycle governance records.</w:t>
      </w:r>
    </w:p>
    <w:tbl>
      <w:tblPr>
        <w:tblW w:type="auto" w:w="0"/>
        <w:jc w:val="left"/>
        <w:tblLook w:firstColumn="1" w:firstRow="1" w:lastColumn="0" w:lastRow="0" w:noHBand="0" w:noVBand="1" w:val="04A0"/>
      </w:tblPr>
      <w:tblGrid>
        <w:gridCol w:w="10166"/>
      </w:tblGrid>
      <w:tr>
        <w:tc>
          <w:tcPr>
            <w:tcW w:type="dxa" w:w="10166"/>
            <w:shd w:fill="EAF2F4"/>
            <w:tcMar>
              <w:top w:w="100" w:type="dxa"/>
              <w:start w:w="120" w:type="dxa"/>
              <w:bottom w:w="100" w:type="dxa"/>
              <w:end w:w="120" w:type="dxa"/>
            </w:tcMar>
          </w:tcPr>
          <w:p>
            <w:pPr>
              <w:pStyle w:val="Callout"/>
            </w:pPr>
            <w:r/>
            <w:r>
              <w:rPr>
                <w:b/>
                <w:color w:val="17324D"/>
              </w:rPr>
              <w:t xml:space="preserve">Status of HUDERIA. </w:t>
            </w:r>
            <w:r>
              <w:t>HUDERIA is standalone, non-legally binding guidance. It may be used by public and private actors and can be adapted to existing governance approaches. Duckworks therefore treats this pack as recommended organizational practice, not as a legal requirement created by HUDERIA itself.</w:t>
            </w:r>
          </w:p>
        </w:tc>
      </w:tr>
    </w:tbl>
    <w:p>
      <w:pPr>
        <w:spacing w:after="0"/>
      </w:pPr>
    </w:p>
    <w:p>
      <w:pPr>
        <w:pStyle w:val="Heading1"/>
      </w:pPr>
      <w:r>
        <w:t>2. HUDERIA Structure Applied by Duckworks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324D"/>
          </w:tcPr>
          <w:p>
            <w:r/>
            <w:r>
              <w:rPr>
                <w:rFonts w:ascii="Liberation Sans" w:hAnsi="Liberation Sans"/>
                <w:b/>
                <w:color w:val="FFFFFF"/>
                <w:sz w:val="16"/>
              </w:rPr>
              <w:t>HUDERIA element</w:t>
            </w:r>
          </w:p>
        </w:tc>
        <w:tc>
          <w:tcPr>
            <w:tcW w:type="dxa" w:w="2160"/>
            <w:vAlign w:val="center"/>
            <w:tcMar>
              <w:top w:w="70" w:type="dxa"/>
              <w:start w:w="90" w:type="dxa"/>
              <w:bottom w:w="70" w:type="dxa"/>
              <w:end w:w="90" w:type="dxa"/>
            </w:tcMar>
            <w:shd w:fill="17324D"/>
          </w:tcPr>
          <w:p>
            <w:r/>
            <w:r>
              <w:rPr>
                <w:rFonts w:ascii="Liberation Sans" w:hAnsi="Liberation Sans"/>
                <w:b/>
                <w:color w:val="FFFFFF"/>
                <w:sz w:val="16"/>
              </w:rPr>
              <w:t>Duckworks controlled record</w:t>
            </w:r>
          </w:p>
        </w:tc>
        <w:tc>
          <w:tcPr>
            <w:tcW w:type="dxa" w:w="5184"/>
            <w:vAlign w:val="center"/>
            <w:tcMar>
              <w:top w:w="70" w:type="dxa"/>
              <w:start w:w="90" w:type="dxa"/>
              <w:bottom w:w="70" w:type="dxa"/>
              <w:end w:w="90" w:type="dxa"/>
            </w:tcMar>
            <w:shd w:fill="17324D"/>
          </w:tcPr>
          <w:p>
            <w:r/>
            <w:r>
              <w:rPr>
                <w:rFonts w:ascii="Liberation Sans" w:hAnsi="Liberation Sans"/>
                <w:b/>
                <w:color w:val="FFFFFF"/>
                <w:sz w:val="16"/>
              </w:rPr>
              <w:t>Purpose</w:t>
            </w:r>
          </w:p>
        </w:tc>
      </w:tr>
      <w:tr>
        <w:tc>
          <w:tcPr>
            <w:tcW w:type="dxa" w:w="2160"/>
            <w:vAlign w:val="center"/>
            <w:tcMar>
              <w:top w:w="70" w:type="dxa"/>
              <w:start w:w="90" w:type="dxa"/>
              <w:bottom w:w="70" w:type="dxa"/>
              <w:end w:w="90" w:type="dxa"/>
            </w:tcMar>
          </w:tcPr>
          <w:p>
            <w:r/>
            <w:r>
              <w:rPr>
                <w:rFonts w:ascii="Liberation Sans" w:hAnsi="Liberation Sans"/>
                <w:b w:val="0"/>
                <w:sz w:val="16"/>
              </w:rPr>
              <w:t>Context-Based Risk Analysis (COBRA)</w:t>
            </w:r>
          </w:p>
        </w:tc>
        <w:tc>
          <w:tcPr>
            <w:tcW w:type="dxa" w:w="2160"/>
            <w:vAlign w:val="center"/>
            <w:tcMar>
              <w:top w:w="70" w:type="dxa"/>
              <w:start w:w="90" w:type="dxa"/>
              <w:bottom w:w="70" w:type="dxa"/>
              <w:end w:w="90" w:type="dxa"/>
            </w:tcMar>
          </w:tcPr>
          <w:p>
            <w:r/>
            <w:r>
              <w:rPr>
                <w:rFonts w:ascii="Liberation Sans" w:hAnsi="Liberation Sans"/>
                <w:b w:val="0"/>
                <w:sz w:val="16"/>
              </w:rPr>
              <w:t>DW-WING-HUD-02</w:t>
            </w:r>
          </w:p>
        </w:tc>
        <w:tc>
          <w:tcPr>
            <w:tcW w:type="dxa" w:w="5184"/>
            <w:vAlign w:val="center"/>
            <w:tcMar>
              <w:top w:w="70" w:type="dxa"/>
              <w:start w:w="90" w:type="dxa"/>
              <w:bottom w:w="70" w:type="dxa"/>
              <w:end w:w="90" w:type="dxa"/>
            </w:tcMar>
          </w:tcPr>
          <w:p>
            <w:r/>
            <w:r>
              <w:rPr>
                <w:rFonts w:ascii="Liberation Sans" w:hAnsi="Liberation Sans"/>
                <w:b w:val="0"/>
                <w:sz w:val="16"/>
              </w:rPr>
              <w:t>Scope the system, analyze application/design/deployment risk factors, map potential rights impacts, answer zero questions, and triage.</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Stakeholder Engagement Process (SEP)</w:t>
            </w:r>
          </w:p>
        </w:tc>
        <w:tc>
          <w:tcPr>
            <w:tcW w:type="dxa" w:w="2160"/>
            <w:vAlign w:val="center"/>
            <w:tcMar>
              <w:top w:w="70" w:type="dxa"/>
              <w:start w:w="90" w:type="dxa"/>
              <w:bottom w:w="70" w:type="dxa"/>
              <w:end w:w="90" w:type="dxa"/>
            </w:tcMar>
            <w:shd w:fill="F5F7F9"/>
          </w:tcPr>
          <w:p>
            <w:r/>
            <w:r>
              <w:rPr>
                <w:rFonts w:ascii="Liberation Sans" w:hAnsi="Liberation Sans"/>
                <w:b w:val="0"/>
                <w:sz w:val="16"/>
              </w:rPr>
              <w:t>DW-WING-HUD-03</w:t>
            </w:r>
          </w:p>
        </w:tc>
        <w:tc>
          <w:tcPr>
            <w:tcW w:type="dxa" w:w="5184"/>
            <w:vAlign w:val="center"/>
            <w:tcMar>
              <w:top w:w="70" w:type="dxa"/>
              <w:start w:w="90" w:type="dxa"/>
              <w:bottom w:w="70" w:type="dxa"/>
              <w:end w:w="90" w:type="dxa"/>
            </w:tcMar>
            <w:shd w:fill="F5F7F9"/>
          </w:tcPr>
          <w:p>
            <w:r/>
            <w:r>
              <w:rPr>
                <w:rFonts w:ascii="Liberation Sans" w:hAnsi="Liberation Sans"/>
                <w:b w:val="0"/>
                <w:sz w:val="16"/>
              </w:rPr>
              <w:t>Identify affected stakeholders, reflect on assessor positionality, define engagement objectives and methods, and record evidence.</w:t>
            </w:r>
          </w:p>
        </w:tc>
      </w:tr>
      <w:tr>
        <w:tc>
          <w:tcPr>
            <w:tcW w:type="dxa" w:w="2160"/>
            <w:vAlign w:val="center"/>
            <w:tcMar>
              <w:top w:w="70" w:type="dxa"/>
              <w:start w:w="90" w:type="dxa"/>
              <w:bottom w:w="70" w:type="dxa"/>
              <w:end w:w="90" w:type="dxa"/>
            </w:tcMar>
          </w:tcPr>
          <w:p>
            <w:r/>
            <w:r>
              <w:rPr>
                <w:rFonts w:ascii="Liberation Sans" w:hAnsi="Liberation Sans"/>
                <w:b w:val="0"/>
                <w:sz w:val="16"/>
              </w:rPr>
              <w:t>Risk and Impact Assessment (RIA)</w:t>
            </w:r>
          </w:p>
        </w:tc>
        <w:tc>
          <w:tcPr>
            <w:tcW w:type="dxa" w:w="2160"/>
            <w:vAlign w:val="center"/>
            <w:tcMar>
              <w:top w:w="70" w:type="dxa"/>
              <w:start w:w="90" w:type="dxa"/>
              <w:bottom w:w="70" w:type="dxa"/>
              <w:end w:w="90" w:type="dxa"/>
            </w:tcMar>
          </w:tcPr>
          <w:p>
            <w:r/>
            <w:r>
              <w:rPr>
                <w:rFonts w:ascii="Liberation Sans" w:hAnsi="Liberation Sans"/>
                <w:b w:val="0"/>
                <w:sz w:val="16"/>
              </w:rPr>
              <w:t>DW-WING-HUD-04</w:t>
            </w:r>
          </w:p>
        </w:tc>
        <w:tc>
          <w:tcPr>
            <w:tcW w:type="dxa" w:w="5184"/>
            <w:vAlign w:val="center"/>
            <w:tcMar>
              <w:top w:w="70" w:type="dxa"/>
              <w:start w:w="90" w:type="dxa"/>
              <w:bottom w:w="70" w:type="dxa"/>
              <w:end w:w="90" w:type="dxa"/>
            </w:tcMar>
          </w:tcPr>
          <w:p>
            <w:r/>
            <w:r>
              <w:rPr>
                <w:rFonts w:ascii="Liberation Sans" w:hAnsi="Liberation Sans"/>
                <w:b w:val="0"/>
                <w:sz w:val="16"/>
              </w:rPr>
              <w:t>Examine how adverse impacts could occur and evaluate scale, scope, reversibility and probability.</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Mitigation Plan (MP)</w:t>
            </w:r>
          </w:p>
        </w:tc>
        <w:tc>
          <w:tcPr>
            <w:tcW w:type="dxa" w:w="2160"/>
            <w:vAlign w:val="center"/>
            <w:tcMar>
              <w:top w:w="70" w:type="dxa"/>
              <w:start w:w="90" w:type="dxa"/>
              <w:bottom w:w="70" w:type="dxa"/>
              <w:end w:w="90" w:type="dxa"/>
            </w:tcMar>
            <w:shd w:fill="F5F7F9"/>
          </w:tcPr>
          <w:p>
            <w:r/>
            <w:r>
              <w:rPr>
                <w:rFonts w:ascii="Liberation Sans" w:hAnsi="Liberation Sans"/>
                <w:b w:val="0"/>
                <w:sz w:val="16"/>
              </w:rPr>
              <w:t>DW-WING-HUD-05</w:t>
            </w:r>
          </w:p>
        </w:tc>
        <w:tc>
          <w:tcPr>
            <w:tcW w:type="dxa" w:w="5184"/>
            <w:vAlign w:val="center"/>
            <w:tcMar>
              <w:top w:w="70" w:type="dxa"/>
              <w:start w:w="90" w:type="dxa"/>
              <w:bottom w:w="70" w:type="dxa"/>
              <w:end w:w="90" w:type="dxa"/>
            </w:tcMar>
            <w:shd w:fill="F5F7F9"/>
          </w:tcPr>
          <w:p>
            <w:r/>
            <w:r>
              <w:rPr>
                <w:rFonts w:ascii="Liberation Sans" w:hAnsi="Liberation Sans"/>
                <w:b w:val="0"/>
                <w:sz w:val="16"/>
              </w:rPr>
              <w:t>Prioritize treatment using avoid/mitigate/restore/compensate, assign owners, evidence, and remedy mechanisms.</w:t>
            </w:r>
          </w:p>
        </w:tc>
      </w:tr>
      <w:tr>
        <w:tc>
          <w:tcPr>
            <w:tcW w:type="dxa" w:w="2160"/>
            <w:vAlign w:val="center"/>
            <w:tcMar>
              <w:top w:w="70" w:type="dxa"/>
              <w:start w:w="90" w:type="dxa"/>
              <w:bottom w:w="70" w:type="dxa"/>
              <w:end w:w="90" w:type="dxa"/>
            </w:tcMar>
          </w:tcPr>
          <w:p>
            <w:r/>
            <w:r>
              <w:rPr>
                <w:rFonts w:ascii="Liberation Sans" w:hAnsi="Liberation Sans"/>
                <w:b w:val="0"/>
                <w:sz w:val="16"/>
              </w:rPr>
              <w:t>Iterative Review</w:t>
            </w:r>
          </w:p>
        </w:tc>
        <w:tc>
          <w:tcPr>
            <w:tcW w:type="dxa" w:w="2160"/>
            <w:vAlign w:val="center"/>
            <w:tcMar>
              <w:top w:w="70" w:type="dxa"/>
              <w:start w:w="90" w:type="dxa"/>
              <w:bottom w:w="70" w:type="dxa"/>
              <w:end w:w="90" w:type="dxa"/>
            </w:tcMar>
          </w:tcPr>
          <w:p>
            <w:r/>
            <w:r>
              <w:rPr>
                <w:rFonts w:ascii="Liberation Sans" w:hAnsi="Liberation Sans"/>
                <w:b w:val="0"/>
                <w:sz w:val="16"/>
              </w:rPr>
              <w:t>DW-WING-HUD-06</w:t>
            </w:r>
          </w:p>
        </w:tc>
        <w:tc>
          <w:tcPr>
            <w:tcW w:type="dxa" w:w="5184"/>
            <w:vAlign w:val="center"/>
            <w:tcMar>
              <w:top w:w="70" w:type="dxa"/>
              <w:start w:w="90" w:type="dxa"/>
              <w:bottom w:w="70" w:type="dxa"/>
              <w:end w:w="90" w:type="dxa"/>
            </w:tcMar>
          </w:tcPr>
          <w:p>
            <w:r/>
            <w:r>
              <w:rPr>
                <w:rFonts w:ascii="Liberation Sans" w:hAnsi="Liberation Sans"/>
                <w:b w:val="0"/>
                <w:sz w:val="16"/>
              </w:rPr>
              <w:t>Monitor changes and impacts throughout the lifecycle and trigger reassessment when the context changes.</w:t>
            </w:r>
          </w:p>
        </w:tc>
      </w:tr>
    </w:tbl>
    <w:p>
      <w:pPr>
        <w:spacing w:after="0"/>
      </w:pPr>
    </w:p>
    <w:p>
      <w:pPr>
        <w:pStyle w:val="Heading1"/>
      </w:pPr>
      <w:r>
        <w:t>3. Portfolio Application Decision</w:t>
      </w:r>
    </w:p>
    <w:p>
      <w:r>
        <w:t>HUDERIA is system-specific and proportional. Duckworks therefore performs portfolio triage first, then applies the complete worked HUDERIA sequence to AI-005 DuckTalent because the current evidence shows the highest direct human-rights exposure and closest proximity to consequential decisions. Other systems retain tailored HUDERIA actions in the triage register.</w:t>
      </w:r>
    </w:p>
    <w:p>
      <w:pPr>
        <w:pStyle w:val="Heading1"/>
      </w:pPr>
      <w:r>
        <w:t>4. Document Register</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728"/>
            <w:vAlign w:val="center"/>
            <w:tcMar>
              <w:top w:w="70" w:type="dxa"/>
              <w:start w:w="90" w:type="dxa"/>
              <w:bottom w:w="70" w:type="dxa"/>
              <w:end w:w="90" w:type="dxa"/>
            </w:tcMar>
            <w:shd w:fill="17324D"/>
          </w:tcPr>
          <w:p>
            <w:r/>
            <w:r>
              <w:rPr>
                <w:rFonts w:ascii="Liberation Sans" w:hAnsi="Liberation Sans"/>
                <w:b/>
                <w:color w:val="FFFFFF"/>
                <w:sz w:val="16"/>
              </w:rPr>
              <w:t>ID</w:t>
            </w:r>
          </w:p>
        </w:tc>
        <w:tc>
          <w:tcPr>
            <w:tcW w:type="dxa" w:w="3456"/>
            <w:vAlign w:val="center"/>
            <w:tcMar>
              <w:top w:w="70" w:type="dxa"/>
              <w:start w:w="90" w:type="dxa"/>
              <w:bottom w:w="70" w:type="dxa"/>
              <w:end w:w="90" w:type="dxa"/>
            </w:tcMar>
            <w:shd w:fill="17324D"/>
          </w:tcPr>
          <w:p>
            <w:r/>
            <w:r>
              <w:rPr>
                <w:rFonts w:ascii="Liberation Sans" w:hAnsi="Liberation Sans"/>
                <w:b/>
                <w:color w:val="FFFFFF"/>
                <w:sz w:val="16"/>
              </w:rPr>
              <w:t>Document</w:t>
            </w:r>
          </w:p>
        </w:tc>
        <w:tc>
          <w:tcPr>
            <w:tcW w:type="dxa" w:w="2160"/>
            <w:vAlign w:val="center"/>
            <w:tcMar>
              <w:top w:w="70" w:type="dxa"/>
              <w:start w:w="90" w:type="dxa"/>
              <w:bottom w:w="70" w:type="dxa"/>
              <w:end w:w="90" w:type="dxa"/>
            </w:tcMar>
            <w:shd w:fill="17324D"/>
          </w:tcPr>
          <w:p>
            <w:r/>
            <w:r>
              <w:rPr>
                <w:rFonts w:ascii="Liberation Sans" w:hAnsi="Liberation Sans"/>
                <w:b/>
                <w:color w:val="FFFFFF"/>
                <w:sz w:val="16"/>
              </w:rPr>
              <w:t>System / scope</w:t>
            </w:r>
          </w:p>
        </w:tc>
        <w:tc>
          <w:tcPr>
            <w:tcW w:type="dxa" w:w="2304"/>
            <w:vAlign w:val="center"/>
            <w:tcMar>
              <w:top w:w="70" w:type="dxa"/>
              <w:start w:w="90" w:type="dxa"/>
              <w:bottom w:w="70" w:type="dxa"/>
              <w:end w:w="90" w:type="dxa"/>
            </w:tcMar>
            <w:shd w:fill="17324D"/>
          </w:tcPr>
          <w:p>
            <w:r/>
            <w:r>
              <w:rPr>
                <w:rFonts w:ascii="Liberation Sans" w:hAnsi="Liberation Sans"/>
                <w:b/>
                <w:color w:val="FFFFFF"/>
                <w:sz w:val="16"/>
              </w:rPr>
              <w:t>Status</w:t>
            </w:r>
          </w:p>
        </w:tc>
      </w:tr>
      <w:tr>
        <w:tc>
          <w:tcPr>
            <w:tcW w:type="dxa" w:w="1728"/>
            <w:vAlign w:val="center"/>
            <w:tcMar>
              <w:top w:w="70" w:type="dxa"/>
              <w:start w:w="90" w:type="dxa"/>
              <w:bottom w:w="70" w:type="dxa"/>
              <w:end w:w="90" w:type="dxa"/>
            </w:tcMar>
          </w:tcPr>
          <w:p>
            <w:r/>
            <w:r>
              <w:rPr>
                <w:rFonts w:ascii="Liberation Sans" w:hAnsi="Liberation Sans"/>
                <w:b w:val="0"/>
                <w:sz w:val="16"/>
              </w:rPr>
              <w:t>DW-WING-HUD-00</w:t>
            </w:r>
          </w:p>
        </w:tc>
        <w:tc>
          <w:tcPr>
            <w:tcW w:type="dxa" w:w="3456"/>
            <w:vAlign w:val="center"/>
            <w:tcMar>
              <w:top w:w="70" w:type="dxa"/>
              <w:start w:w="90" w:type="dxa"/>
              <w:bottom w:w="70" w:type="dxa"/>
              <w:end w:w="90" w:type="dxa"/>
            </w:tcMar>
          </w:tcPr>
          <w:p>
            <w:r/>
            <w:r>
              <w:rPr>
                <w:rFonts w:ascii="Liberation Sans" w:hAnsi="Liberation Sans"/>
                <w:b w:val="0"/>
                <w:sz w:val="16"/>
              </w:rPr>
              <w:t>HUDERIA Assessment Pack Index</w:t>
            </w:r>
          </w:p>
        </w:tc>
        <w:tc>
          <w:tcPr>
            <w:tcW w:type="dxa" w:w="2160"/>
            <w:vAlign w:val="center"/>
            <w:tcMar>
              <w:top w:w="70" w:type="dxa"/>
              <w:start w:w="90" w:type="dxa"/>
              <w:bottom w:w="70" w:type="dxa"/>
              <w:end w:w="90" w:type="dxa"/>
            </w:tcMar>
          </w:tcPr>
          <w:p>
            <w:r/>
            <w:r>
              <w:rPr>
                <w:rFonts w:ascii="Liberation Sans" w:hAnsi="Liberation Sans"/>
                <w:b w:val="0"/>
                <w:sz w:val="16"/>
              </w:rPr>
              <w:t>Portfolio</w:t>
            </w:r>
          </w:p>
        </w:tc>
        <w:tc>
          <w:tcPr>
            <w:tcW w:type="dxa" w:w="2304"/>
            <w:vAlign w:val="center"/>
            <w:tcMar>
              <w:top w:w="70" w:type="dxa"/>
              <w:start w:w="90" w:type="dxa"/>
              <w:bottom w:w="70" w:type="dxa"/>
              <w:end w:w="90" w:type="dxa"/>
            </w:tcMar>
          </w:tcPr>
          <w:p>
            <w:r/>
            <w:r>
              <w:rPr>
                <w:rFonts w:ascii="Liberation Sans" w:hAnsi="Liberation Sans"/>
                <w:b w:val="0"/>
                <w:sz w:val="16"/>
              </w:rPr>
              <w:t>Complete - index</w:t>
            </w:r>
          </w:p>
        </w:tc>
      </w:tr>
      <w:tr>
        <w:tc>
          <w:tcPr>
            <w:tcW w:type="dxa" w:w="1728"/>
            <w:vAlign w:val="center"/>
            <w:tcMar>
              <w:top w:w="70" w:type="dxa"/>
              <w:start w:w="90" w:type="dxa"/>
              <w:bottom w:w="70" w:type="dxa"/>
              <w:end w:w="90" w:type="dxa"/>
            </w:tcMar>
            <w:shd w:fill="F5F7F9"/>
          </w:tcPr>
          <w:p>
            <w:r/>
            <w:r>
              <w:rPr>
                <w:rFonts w:ascii="Liberation Sans" w:hAnsi="Liberation Sans"/>
                <w:b w:val="0"/>
                <w:sz w:val="16"/>
              </w:rPr>
              <w:t>DW-WING-HUD-01</w:t>
            </w:r>
          </w:p>
        </w:tc>
        <w:tc>
          <w:tcPr>
            <w:tcW w:type="dxa" w:w="3456"/>
            <w:vAlign w:val="center"/>
            <w:tcMar>
              <w:top w:w="70" w:type="dxa"/>
              <w:start w:w="90" w:type="dxa"/>
              <w:bottom w:w="70" w:type="dxa"/>
              <w:end w:w="90" w:type="dxa"/>
            </w:tcMar>
            <w:shd w:fill="F5F7F9"/>
          </w:tcPr>
          <w:p>
            <w:r/>
            <w:r>
              <w:rPr>
                <w:rFonts w:ascii="Liberation Sans" w:hAnsi="Liberation Sans"/>
                <w:b w:val="0"/>
                <w:sz w:val="16"/>
              </w:rPr>
              <w:t>HUDERIA Applicability &amp; Portfolio Triage</w:t>
            </w:r>
          </w:p>
        </w:tc>
        <w:tc>
          <w:tcPr>
            <w:tcW w:type="dxa" w:w="2160"/>
            <w:vAlign w:val="center"/>
            <w:tcMar>
              <w:top w:w="70" w:type="dxa"/>
              <w:start w:w="90" w:type="dxa"/>
              <w:bottom w:w="70" w:type="dxa"/>
              <w:end w:w="90" w:type="dxa"/>
            </w:tcMar>
            <w:shd w:fill="F5F7F9"/>
          </w:tcPr>
          <w:p>
            <w:r/>
            <w:r>
              <w:rPr>
                <w:rFonts w:ascii="Liberation Sans" w:hAnsi="Liberation Sans"/>
                <w:b w:val="0"/>
                <w:sz w:val="16"/>
              </w:rPr>
              <w:t>AI-001 to AI-007</w:t>
            </w:r>
          </w:p>
        </w:tc>
        <w:tc>
          <w:tcPr>
            <w:tcW w:type="dxa" w:w="2304"/>
            <w:vAlign w:val="center"/>
            <w:tcMar>
              <w:top w:w="70" w:type="dxa"/>
              <w:start w:w="90" w:type="dxa"/>
              <w:bottom w:w="70" w:type="dxa"/>
              <w:end w:w="90" w:type="dxa"/>
            </w:tcMar>
            <w:shd w:fill="F5F7F9"/>
          </w:tcPr>
          <w:p>
            <w:r/>
            <w:r>
              <w:rPr>
                <w:rFonts w:ascii="Liberation Sans" w:hAnsi="Liberation Sans"/>
                <w:b w:val="0"/>
                <w:sz w:val="16"/>
              </w:rPr>
              <w:t>Complete - initial triage</w:t>
            </w:r>
          </w:p>
        </w:tc>
      </w:tr>
      <w:tr>
        <w:tc>
          <w:tcPr>
            <w:tcW w:type="dxa" w:w="1728"/>
            <w:vAlign w:val="center"/>
            <w:tcMar>
              <w:top w:w="70" w:type="dxa"/>
              <w:start w:w="90" w:type="dxa"/>
              <w:bottom w:w="70" w:type="dxa"/>
              <w:end w:w="90" w:type="dxa"/>
            </w:tcMar>
          </w:tcPr>
          <w:p>
            <w:r/>
            <w:r>
              <w:rPr>
                <w:rFonts w:ascii="Liberation Sans" w:hAnsi="Liberation Sans"/>
                <w:b w:val="0"/>
                <w:sz w:val="16"/>
              </w:rPr>
              <w:t>DW-WING-HUD-02</w:t>
            </w:r>
          </w:p>
        </w:tc>
        <w:tc>
          <w:tcPr>
            <w:tcW w:type="dxa" w:w="3456"/>
            <w:vAlign w:val="center"/>
            <w:tcMar>
              <w:top w:w="70" w:type="dxa"/>
              <w:start w:w="90" w:type="dxa"/>
              <w:bottom w:w="70" w:type="dxa"/>
              <w:end w:w="90" w:type="dxa"/>
            </w:tcMar>
          </w:tcPr>
          <w:p>
            <w:r/>
            <w:r>
              <w:rPr>
                <w:rFonts w:ascii="Liberation Sans" w:hAnsi="Liberation Sans"/>
                <w:b w:val="0"/>
                <w:sz w:val="16"/>
              </w:rPr>
              <w:t>COBRA Assessment</w:t>
            </w:r>
          </w:p>
        </w:tc>
        <w:tc>
          <w:tcPr>
            <w:tcW w:type="dxa" w:w="2160"/>
            <w:vAlign w:val="center"/>
            <w:tcMar>
              <w:top w:w="70" w:type="dxa"/>
              <w:start w:w="90" w:type="dxa"/>
              <w:bottom w:w="70" w:type="dxa"/>
              <w:end w:w="90" w:type="dxa"/>
            </w:tcMar>
          </w:tcPr>
          <w:p>
            <w:r/>
            <w:r>
              <w:rPr>
                <w:rFonts w:ascii="Liberation Sans" w:hAnsi="Liberation Sans"/>
                <w:b w:val="0"/>
                <w:sz w:val="16"/>
              </w:rPr>
              <w:t>AI-005 DuckTalent</w:t>
            </w:r>
          </w:p>
        </w:tc>
        <w:tc>
          <w:tcPr>
            <w:tcW w:type="dxa" w:w="2304"/>
            <w:vAlign w:val="center"/>
            <w:tcMar>
              <w:top w:w="70" w:type="dxa"/>
              <w:start w:w="90" w:type="dxa"/>
              <w:bottom w:w="70" w:type="dxa"/>
              <w:end w:w="90" w:type="dxa"/>
            </w:tcMar>
          </w:tcPr>
          <w:p>
            <w:r/>
            <w:r>
              <w:rPr>
                <w:rFonts w:ascii="Liberation Sans" w:hAnsi="Liberation Sans"/>
                <w:b w:val="0"/>
                <w:sz w:val="16"/>
              </w:rPr>
              <w:t>Draft - pre-deployment</w:t>
            </w:r>
          </w:p>
        </w:tc>
      </w:tr>
      <w:tr>
        <w:tc>
          <w:tcPr>
            <w:tcW w:type="dxa" w:w="1728"/>
            <w:vAlign w:val="center"/>
            <w:tcMar>
              <w:top w:w="70" w:type="dxa"/>
              <w:start w:w="90" w:type="dxa"/>
              <w:bottom w:w="70" w:type="dxa"/>
              <w:end w:w="90" w:type="dxa"/>
            </w:tcMar>
            <w:shd w:fill="F5F7F9"/>
          </w:tcPr>
          <w:p>
            <w:r/>
            <w:r>
              <w:rPr>
                <w:rFonts w:ascii="Liberation Sans" w:hAnsi="Liberation Sans"/>
                <w:b w:val="0"/>
                <w:sz w:val="16"/>
              </w:rPr>
              <w:t>DW-WING-HUD-03</w:t>
            </w:r>
          </w:p>
        </w:tc>
        <w:tc>
          <w:tcPr>
            <w:tcW w:type="dxa" w:w="3456"/>
            <w:vAlign w:val="center"/>
            <w:tcMar>
              <w:top w:w="70" w:type="dxa"/>
              <w:start w:w="90" w:type="dxa"/>
              <w:bottom w:w="70" w:type="dxa"/>
              <w:end w:w="90" w:type="dxa"/>
            </w:tcMar>
            <w:shd w:fill="F5F7F9"/>
          </w:tcPr>
          <w:p>
            <w:r/>
            <w:r>
              <w:rPr>
                <w:rFonts w:ascii="Liberation Sans" w:hAnsi="Liberation Sans"/>
                <w:b w:val="0"/>
                <w:sz w:val="16"/>
              </w:rPr>
              <w:t>Stakeholder Engagement Plan &amp; Record</w:t>
            </w:r>
          </w:p>
        </w:tc>
        <w:tc>
          <w:tcPr>
            <w:tcW w:type="dxa" w:w="2160"/>
            <w:vAlign w:val="center"/>
            <w:tcMar>
              <w:top w:w="70" w:type="dxa"/>
              <w:start w:w="90" w:type="dxa"/>
              <w:bottom w:w="70" w:type="dxa"/>
              <w:end w:w="90" w:type="dxa"/>
            </w:tcMar>
            <w:shd w:fill="F5F7F9"/>
          </w:tcPr>
          <w:p>
            <w:r/>
            <w:r>
              <w:rPr>
                <w:rFonts w:ascii="Liberation Sans" w:hAnsi="Liberation Sans"/>
                <w:b w:val="0"/>
                <w:sz w:val="16"/>
              </w:rPr>
              <w:t>AI-005 DuckTalent</w:t>
            </w:r>
          </w:p>
        </w:tc>
        <w:tc>
          <w:tcPr>
            <w:tcW w:type="dxa" w:w="2304"/>
            <w:vAlign w:val="center"/>
            <w:tcMar>
              <w:top w:w="70" w:type="dxa"/>
              <w:start w:w="90" w:type="dxa"/>
              <w:bottom w:w="70" w:type="dxa"/>
              <w:end w:w="90" w:type="dxa"/>
            </w:tcMar>
            <w:shd w:fill="F5F7F9"/>
          </w:tcPr>
          <w:p>
            <w:r/>
            <w:r>
              <w:rPr>
                <w:rFonts w:ascii="Liberation Sans" w:hAnsi="Liberation Sans"/>
                <w:b w:val="0"/>
                <w:sz w:val="16"/>
              </w:rPr>
              <w:t>Planned - no real engagement claimed</w:t>
            </w:r>
          </w:p>
        </w:tc>
      </w:tr>
      <w:tr>
        <w:tc>
          <w:tcPr>
            <w:tcW w:type="dxa" w:w="1728"/>
            <w:vAlign w:val="center"/>
            <w:tcMar>
              <w:top w:w="70" w:type="dxa"/>
              <w:start w:w="90" w:type="dxa"/>
              <w:bottom w:w="70" w:type="dxa"/>
              <w:end w:w="90" w:type="dxa"/>
            </w:tcMar>
          </w:tcPr>
          <w:p>
            <w:r/>
            <w:r>
              <w:rPr>
                <w:rFonts w:ascii="Liberation Sans" w:hAnsi="Liberation Sans"/>
                <w:b w:val="0"/>
                <w:sz w:val="16"/>
              </w:rPr>
              <w:t>DW-WING-HUD-04</w:t>
            </w:r>
          </w:p>
        </w:tc>
        <w:tc>
          <w:tcPr>
            <w:tcW w:type="dxa" w:w="3456"/>
            <w:vAlign w:val="center"/>
            <w:tcMar>
              <w:top w:w="70" w:type="dxa"/>
              <w:start w:w="90" w:type="dxa"/>
              <w:bottom w:w="70" w:type="dxa"/>
              <w:end w:w="90" w:type="dxa"/>
            </w:tcMar>
          </w:tcPr>
          <w:p>
            <w:r/>
            <w:r>
              <w:rPr>
                <w:rFonts w:ascii="Liberation Sans" w:hAnsi="Liberation Sans"/>
                <w:b w:val="0"/>
                <w:sz w:val="16"/>
              </w:rPr>
              <w:t>Risk &amp; Impact Assessment</w:t>
            </w:r>
          </w:p>
        </w:tc>
        <w:tc>
          <w:tcPr>
            <w:tcW w:type="dxa" w:w="2160"/>
            <w:vAlign w:val="center"/>
            <w:tcMar>
              <w:top w:w="70" w:type="dxa"/>
              <w:start w:w="90" w:type="dxa"/>
              <w:bottom w:w="70" w:type="dxa"/>
              <w:end w:w="90" w:type="dxa"/>
            </w:tcMar>
          </w:tcPr>
          <w:p>
            <w:r/>
            <w:r>
              <w:rPr>
                <w:rFonts w:ascii="Liberation Sans" w:hAnsi="Liberation Sans"/>
                <w:b w:val="0"/>
                <w:sz w:val="16"/>
              </w:rPr>
              <w:t>AI-005 DuckTalent</w:t>
            </w:r>
          </w:p>
        </w:tc>
        <w:tc>
          <w:tcPr>
            <w:tcW w:type="dxa" w:w="2304"/>
            <w:vAlign w:val="center"/>
            <w:tcMar>
              <w:top w:w="70" w:type="dxa"/>
              <w:start w:w="90" w:type="dxa"/>
              <w:bottom w:w="70" w:type="dxa"/>
              <w:end w:w="90" w:type="dxa"/>
            </w:tcMar>
          </w:tcPr>
          <w:p>
            <w:r/>
            <w:r>
              <w:rPr>
                <w:rFonts w:ascii="Liberation Sans" w:hAnsi="Liberation Sans"/>
                <w:b w:val="0"/>
                <w:sz w:val="16"/>
              </w:rPr>
              <w:t>Draft - pre-deployment</w:t>
            </w:r>
          </w:p>
        </w:tc>
      </w:tr>
      <w:tr>
        <w:tc>
          <w:tcPr>
            <w:tcW w:type="dxa" w:w="1728"/>
            <w:vAlign w:val="center"/>
            <w:tcMar>
              <w:top w:w="70" w:type="dxa"/>
              <w:start w:w="90" w:type="dxa"/>
              <w:bottom w:w="70" w:type="dxa"/>
              <w:end w:w="90" w:type="dxa"/>
            </w:tcMar>
            <w:shd w:fill="F5F7F9"/>
          </w:tcPr>
          <w:p>
            <w:r/>
            <w:r>
              <w:rPr>
                <w:rFonts w:ascii="Liberation Sans" w:hAnsi="Liberation Sans"/>
                <w:b w:val="0"/>
                <w:sz w:val="16"/>
              </w:rPr>
              <w:t>DW-WING-HUD-05</w:t>
            </w:r>
          </w:p>
        </w:tc>
        <w:tc>
          <w:tcPr>
            <w:tcW w:type="dxa" w:w="3456"/>
            <w:vAlign w:val="center"/>
            <w:tcMar>
              <w:top w:w="70" w:type="dxa"/>
              <w:start w:w="90" w:type="dxa"/>
              <w:bottom w:w="70" w:type="dxa"/>
              <w:end w:w="90" w:type="dxa"/>
            </w:tcMar>
            <w:shd w:fill="F5F7F9"/>
          </w:tcPr>
          <w:p>
            <w:r/>
            <w:r>
              <w:rPr>
                <w:rFonts w:ascii="Liberation Sans" w:hAnsi="Liberation Sans"/>
                <w:b w:val="0"/>
                <w:sz w:val="16"/>
              </w:rPr>
              <w:t>Mitigation &amp; Remedies Plan</w:t>
            </w:r>
          </w:p>
        </w:tc>
        <w:tc>
          <w:tcPr>
            <w:tcW w:type="dxa" w:w="2160"/>
            <w:vAlign w:val="center"/>
            <w:tcMar>
              <w:top w:w="70" w:type="dxa"/>
              <w:start w:w="90" w:type="dxa"/>
              <w:bottom w:w="70" w:type="dxa"/>
              <w:end w:w="90" w:type="dxa"/>
            </w:tcMar>
            <w:shd w:fill="F5F7F9"/>
          </w:tcPr>
          <w:p>
            <w:r/>
            <w:r>
              <w:rPr>
                <w:rFonts w:ascii="Liberation Sans" w:hAnsi="Liberation Sans"/>
                <w:b w:val="0"/>
                <w:sz w:val="16"/>
              </w:rPr>
              <w:t>AI-005 DuckTalent</w:t>
            </w:r>
          </w:p>
        </w:tc>
        <w:tc>
          <w:tcPr>
            <w:tcW w:type="dxa" w:w="2304"/>
            <w:vAlign w:val="center"/>
            <w:tcMar>
              <w:top w:w="70" w:type="dxa"/>
              <w:start w:w="90" w:type="dxa"/>
              <w:bottom w:w="70" w:type="dxa"/>
              <w:end w:w="90" w:type="dxa"/>
            </w:tcMar>
            <w:shd w:fill="F5F7F9"/>
          </w:tcPr>
          <w:p>
            <w:r/>
            <w:r>
              <w:rPr>
                <w:rFonts w:ascii="Liberation Sans" w:hAnsi="Liberation Sans"/>
                <w:b w:val="0"/>
                <w:sz w:val="16"/>
              </w:rPr>
              <w:t>Draft - blocking actions open</w:t>
            </w:r>
          </w:p>
        </w:tc>
      </w:tr>
      <w:tr>
        <w:tc>
          <w:tcPr>
            <w:tcW w:type="dxa" w:w="1728"/>
            <w:vAlign w:val="center"/>
            <w:tcMar>
              <w:top w:w="70" w:type="dxa"/>
              <w:start w:w="90" w:type="dxa"/>
              <w:bottom w:w="70" w:type="dxa"/>
              <w:end w:w="90" w:type="dxa"/>
            </w:tcMar>
          </w:tcPr>
          <w:p>
            <w:r/>
            <w:r>
              <w:rPr>
                <w:rFonts w:ascii="Liberation Sans" w:hAnsi="Liberation Sans"/>
                <w:b w:val="0"/>
                <w:sz w:val="16"/>
              </w:rPr>
              <w:t>DW-WING-HUD-06</w:t>
            </w:r>
          </w:p>
        </w:tc>
        <w:tc>
          <w:tcPr>
            <w:tcW w:type="dxa" w:w="3456"/>
            <w:vAlign w:val="center"/>
            <w:tcMar>
              <w:top w:w="70" w:type="dxa"/>
              <w:start w:w="90" w:type="dxa"/>
              <w:bottom w:w="70" w:type="dxa"/>
              <w:end w:w="90" w:type="dxa"/>
            </w:tcMar>
          </w:tcPr>
          <w:p>
            <w:r/>
            <w:r>
              <w:rPr>
                <w:rFonts w:ascii="Liberation Sans" w:hAnsi="Liberation Sans"/>
                <w:b w:val="0"/>
                <w:sz w:val="16"/>
              </w:rPr>
              <w:t>Iterative Review Plan &amp; Log</w:t>
            </w:r>
          </w:p>
        </w:tc>
        <w:tc>
          <w:tcPr>
            <w:tcW w:type="dxa" w:w="2160"/>
            <w:vAlign w:val="center"/>
            <w:tcMar>
              <w:top w:w="70" w:type="dxa"/>
              <w:start w:w="90" w:type="dxa"/>
              <w:bottom w:w="70" w:type="dxa"/>
              <w:end w:w="90" w:type="dxa"/>
            </w:tcMar>
          </w:tcPr>
          <w:p>
            <w:r/>
            <w:r>
              <w:rPr>
                <w:rFonts w:ascii="Liberation Sans" w:hAnsi="Liberation Sans"/>
                <w:b w:val="0"/>
                <w:sz w:val="16"/>
              </w:rPr>
              <w:t>AI-005 DuckTalent</w:t>
            </w:r>
          </w:p>
        </w:tc>
        <w:tc>
          <w:tcPr>
            <w:tcW w:type="dxa" w:w="2304"/>
            <w:vAlign w:val="center"/>
            <w:tcMar>
              <w:top w:w="70" w:type="dxa"/>
              <w:start w:w="90" w:type="dxa"/>
              <w:bottom w:w="70" w:type="dxa"/>
              <w:end w:w="90" w:type="dxa"/>
            </w:tcMar>
          </w:tcPr>
          <w:p>
            <w:r/>
            <w:r>
              <w:rPr>
                <w:rFonts w:ascii="Liberation Sans" w:hAnsi="Liberation Sans"/>
                <w:b w:val="0"/>
                <w:sz w:val="16"/>
              </w:rPr>
              <w:t>Draft - activates at pilot/production gates</w:t>
            </w:r>
          </w:p>
        </w:tc>
      </w:tr>
    </w:tbl>
    <w:p>
      <w:pPr>
        <w:spacing w:after="0"/>
      </w:pPr>
    </w:p>
    <w:p>
      <w:pPr>
        <w:pStyle w:val="Heading1"/>
      </w:pPr>
      <w:r>
        <w:t>5. Relationship to Existing Duckworks Assessments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tcMar>
              <w:top w:w="70" w:type="dxa"/>
              <w:start w:w="90" w:type="dxa"/>
              <w:bottom w:w="70" w:type="dxa"/>
              <w:end w:w="90" w:type="dxa"/>
            </w:tcMar>
            <w:shd w:fill="17324D"/>
          </w:tcPr>
          <w:p>
            <w:r/>
            <w:r>
              <w:rPr>
                <w:rFonts w:ascii="Liberation Sans" w:hAnsi="Liberation Sans"/>
                <w:b/>
                <w:color w:val="FFFFFF"/>
                <w:sz w:val="16"/>
              </w:rPr>
              <w:t>Existing artifact</w:t>
            </w:r>
          </w:p>
        </w:tc>
        <w:tc>
          <w:tcPr>
            <w:tcW w:type="dxa" w:w="3744"/>
            <w:vAlign w:val="center"/>
            <w:tcMar>
              <w:top w:w="70" w:type="dxa"/>
              <w:start w:w="90" w:type="dxa"/>
              <w:bottom w:w="70" w:type="dxa"/>
              <w:end w:w="90" w:type="dxa"/>
            </w:tcMar>
            <w:shd w:fill="17324D"/>
          </w:tcPr>
          <w:p>
            <w:r/>
            <w:r>
              <w:rPr>
                <w:rFonts w:ascii="Liberation Sans" w:hAnsi="Liberation Sans"/>
                <w:b/>
                <w:color w:val="FFFFFF"/>
                <w:sz w:val="16"/>
              </w:rPr>
              <w:t>Relationship to HUDERIA</w:t>
            </w:r>
          </w:p>
        </w:tc>
        <w:tc>
          <w:tcPr>
            <w:tcW w:type="dxa" w:w="3744"/>
            <w:vAlign w:val="center"/>
            <w:tcMar>
              <w:top w:w="70" w:type="dxa"/>
              <w:start w:w="90" w:type="dxa"/>
              <w:bottom w:w="70" w:type="dxa"/>
              <w:end w:w="90" w:type="dxa"/>
            </w:tcMar>
            <w:shd w:fill="17324D"/>
          </w:tcPr>
          <w:p>
            <w:r/>
            <w:r>
              <w:rPr>
                <w:rFonts w:ascii="Liberation Sans" w:hAnsi="Liberation Sans"/>
                <w:b/>
                <w:color w:val="FFFFFF"/>
                <w:sz w:val="16"/>
              </w:rPr>
              <w:t>No-duplication rule</w:t>
            </w:r>
          </w:p>
        </w:tc>
      </w:tr>
      <w:tr>
        <w:tc>
          <w:tcPr>
            <w:tcW w:type="dxa" w:w="2304"/>
            <w:vAlign w:val="center"/>
            <w:tcMar>
              <w:top w:w="70" w:type="dxa"/>
              <w:start w:w="90" w:type="dxa"/>
              <w:bottom w:w="70" w:type="dxa"/>
              <w:end w:w="90" w:type="dxa"/>
            </w:tcMar>
          </w:tcPr>
          <w:p>
            <w:r/>
            <w:r>
              <w:rPr>
                <w:rFonts w:ascii="Liberation Sans" w:hAnsi="Liberation Sans"/>
                <w:b w:val="0"/>
                <w:sz w:val="16"/>
              </w:rPr>
              <w:t>Algorithmic Impact Assessment</w:t>
            </w:r>
          </w:p>
        </w:tc>
        <w:tc>
          <w:tcPr>
            <w:tcW w:type="dxa" w:w="3744"/>
            <w:vAlign w:val="center"/>
            <w:tcMar>
              <w:top w:w="70" w:type="dxa"/>
              <w:start w:w="90" w:type="dxa"/>
              <w:bottom w:w="70" w:type="dxa"/>
              <w:end w:w="90" w:type="dxa"/>
            </w:tcMar>
          </w:tcPr>
          <w:p>
            <w:r/>
            <w:r>
              <w:rPr>
                <w:rFonts w:ascii="Liberation Sans" w:hAnsi="Liberation Sans"/>
                <w:b w:val="0"/>
                <w:sz w:val="16"/>
              </w:rPr>
              <w:t>Provides broader business, people, security, reliability, accessibility and governance impacts.</w:t>
            </w:r>
          </w:p>
        </w:tc>
        <w:tc>
          <w:tcPr>
            <w:tcW w:type="dxa" w:w="3744"/>
            <w:vAlign w:val="center"/>
            <w:tcMar>
              <w:top w:w="70" w:type="dxa"/>
              <w:start w:w="90" w:type="dxa"/>
              <w:bottom w:w="70" w:type="dxa"/>
              <w:end w:w="90" w:type="dxa"/>
            </w:tcMar>
          </w:tcPr>
          <w:p>
            <w:r/>
            <w:r>
              <w:rPr>
                <w:rFonts w:ascii="Liberation Sans" w:hAnsi="Liberation Sans"/>
                <w:b w:val="0"/>
                <w:sz w:val="16"/>
              </w:rPr>
              <w:t>HUDERIA reuses evidence but evaluates it specifically through human rights, democracy and rule-of-law risk variables.</w:t>
            </w:r>
          </w:p>
        </w:tc>
      </w:tr>
      <w:tr>
        <w:tc>
          <w:tcPr>
            <w:tcW w:type="dxa" w:w="2304"/>
            <w:vAlign w:val="center"/>
            <w:tcMar>
              <w:top w:w="70" w:type="dxa"/>
              <w:start w:w="90" w:type="dxa"/>
              <w:bottom w:w="70" w:type="dxa"/>
              <w:end w:w="90" w:type="dxa"/>
            </w:tcMar>
            <w:shd w:fill="F5F7F9"/>
          </w:tcPr>
          <w:p>
            <w:r/>
            <w:r>
              <w:rPr>
                <w:rFonts w:ascii="Liberation Sans" w:hAnsi="Liberation Sans"/>
                <w:b w:val="0"/>
                <w:sz w:val="16"/>
              </w:rPr>
              <w:t>EU Fundamental Rights Impact Assessment</w:t>
            </w:r>
          </w:p>
        </w:tc>
        <w:tc>
          <w:tcPr>
            <w:tcW w:type="dxa" w:w="3744"/>
            <w:vAlign w:val="center"/>
            <w:tcMar>
              <w:top w:w="70" w:type="dxa"/>
              <w:start w:w="90" w:type="dxa"/>
              <w:bottom w:w="70" w:type="dxa"/>
              <w:end w:w="90" w:type="dxa"/>
            </w:tcMar>
            <w:shd w:fill="F5F7F9"/>
          </w:tcPr>
          <w:p>
            <w:r/>
            <w:r>
              <w:rPr>
                <w:rFonts w:ascii="Liberation Sans" w:hAnsi="Liberation Sans"/>
                <w:b w:val="0"/>
                <w:sz w:val="16"/>
              </w:rPr>
              <w:t>Provides an EU AI Act / Charter-focused rights analysis under stated assumptions.</w:t>
            </w:r>
          </w:p>
        </w:tc>
        <w:tc>
          <w:tcPr>
            <w:tcW w:type="dxa" w:w="3744"/>
            <w:vAlign w:val="center"/>
            <w:tcMar>
              <w:top w:w="70" w:type="dxa"/>
              <w:start w:w="90" w:type="dxa"/>
              <w:bottom w:w="70" w:type="dxa"/>
              <w:end w:w="90" w:type="dxa"/>
            </w:tcMar>
            <w:shd w:fill="F5F7F9"/>
          </w:tcPr>
          <w:p>
            <w:r/>
            <w:r>
              <w:rPr>
                <w:rFonts w:ascii="Liberation Sans" w:hAnsi="Liberation Sans"/>
                <w:b w:val="0"/>
                <w:sz w:val="16"/>
              </w:rPr>
              <w:t>HUDERIA is broader, non-binding CoE guidance and does not convert the FRIA into a universal legal requirement.</w:t>
            </w:r>
          </w:p>
        </w:tc>
      </w:tr>
      <w:tr>
        <w:tc>
          <w:tcPr>
            <w:tcW w:type="dxa" w:w="2304"/>
            <w:vAlign w:val="center"/>
            <w:tcMar>
              <w:top w:w="70" w:type="dxa"/>
              <w:start w:w="90" w:type="dxa"/>
              <w:bottom w:w="70" w:type="dxa"/>
              <w:end w:w="90" w:type="dxa"/>
            </w:tcMar>
          </w:tcPr>
          <w:p>
            <w:r/>
            <w:r>
              <w:rPr>
                <w:rFonts w:ascii="Liberation Sans" w:hAnsi="Liberation Sans"/>
                <w:b w:val="0"/>
                <w:sz w:val="16"/>
              </w:rPr>
              <w:t>GDPR DPIA</w:t>
            </w:r>
          </w:p>
        </w:tc>
        <w:tc>
          <w:tcPr>
            <w:tcW w:type="dxa" w:w="3744"/>
            <w:vAlign w:val="center"/>
            <w:tcMar>
              <w:top w:w="70" w:type="dxa"/>
              <w:start w:w="90" w:type="dxa"/>
              <w:bottom w:w="70" w:type="dxa"/>
              <w:end w:w="90" w:type="dxa"/>
            </w:tcMar>
          </w:tcPr>
          <w:p>
            <w:r/>
            <w:r>
              <w:rPr>
                <w:rFonts w:ascii="Liberation Sans" w:hAnsi="Liberation Sans"/>
                <w:b w:val="0"/>
                <w:sz w:val="16"/>
              </w:rPr>
              <w:t>Provides GDPR Article 35 privacy-risk analysis.</w:t>
            </w:r>
          </w:p>
        </w:tc>
        <w:tc>
          <w:tcPr>
            <w:tcW w:type="dxa" w:w="3744"/>
            <w:vAlign w:val="center"/>
            <w:tcMar>
              <w:top w:w="70" w:type="dxa"/>
              <w:start w:w="90" w:type="dxa"/>
              <w:bottom w:w="70" w:type="dxa"/>
              <w:end w:w="90" w:type="dxa"/>
            </w:tcMar>
          </w:tcPr>
          <w:p>
            <w:r/>
            <w:r>
              <w:rPr>
                <w:rFonts w:ascii="Liberation Sans" w:hAnsi="Liberation Sans"/>
                <w:b w:val="0"/>
                <w:sz w:val="16"/>
              </w:rPr>
              <w:t>HUDERIA references privacy findings but does not replace the DPIA or select a lawful basis.</w:t>
            </w:r>
          </w:p>
        </w:tc>
      </w:tr>
      <w:tr>
        <w:tc>
          <w:tcPr>
            <w:tcW w:type="dxa" w:w="2304"/>
            <w:vAlign w:val="center"/>
            <w:tcMar>
              <w:top w:w="70" w:type="dxa"/>
              <w:start w:w="90" w:type="dxa"/>
              <w:bottom w:w="70" w:type="dxa"/>
              <w:end w:w="90" w:type="dxa"/>
            </w:tcMar>
            <w:shd w:fill="F5F7F9"/>
          </w:tcPr>
          <w:p>
            <w:r/>
            <w:r>
              <w:rPr>
                <w:rFonts w:ascii="Liberation Sans" w:hAnsi="Liberation Sans"/>
                <w:b w:val="0"/>
                <w:sz w:val="16"/>
              </w:rPr>
              <w:t>Enterprise AI Risk Assessment</w:t>
            </w:r>
          </w:p>
        </w:tc>
        <w:tc>
          <w:tcPr>
            <w:tcW w:type="dxa" w:w="3744"/>
            <w:vAlign w:val="center"/>
            <w:tcMar>
              <w:top w:w="70" w:type="dxa"/>
              <w:start w:w="90" w:type="dxa"/>
              <w:bottom w:w="70" w:type="dxa"/>
              <w:end w:w="90" w:type="dxa"/>
            </w:tcMar>
            <w:shd w:fill="F5F7F9"/>
          </w:tcPr>
          <w:p>
            <w:r/>
            <w:r>
              <w:rPr>
                <w:rFonts w:ascii="Liberation Sans" w:hAnsi="Liberation Sans"/>
                <w:b w:val="0"/>
                <w:sz w:val="16"/>
              </w:rPr>
              <w:t>Provides Duckworks inherent/current/target risk ratings.</w:t>
            </w:r>
          </w:p>
        </w:tc>
        <w:tc>
          <w:tcPr>
            <w:tcW w:type="dxa" w:w="3744"/>
            <w:vAlign w:val="center"/>
            <w:tcMar>
              <w:top w:w="70" w:type="dxa"/>
              <w:start w:w="90" w:type="dxa"/>
              <w:bottom w:w="70" w:type="dxa"/>
              <w:end w:w="90" w:type="dxa"/>
            </w:tcMar>
            <w:shd w:fill="F5F7F9"/>
          </w:tcPr>
          <w:p>
            <w:r/>
            <w:r>
              <w:rPr>
                <w:rFonts w:ascii="Liberation Sans" w:hAnsi="Liberation Sans"/>
                <w:b w:val="0"/>
                <w:sz w:val="16"/>
              </w:rPr>
              <w:t>HUDERIA variables are not converted into the Duckworks 5x5 score; the two records remain traceable but distinct.</w:t>
            </w:r>
          </w:p>
        </w:tc>
      </w:tr>
      <w:tr>
        <w:tc>
          <w:tcPr>
            <w:tcW w:type="dxa" w:w="2304"/>
            <w:vAlign w:val="center"/>
            <w:tcMar>
              <w:top w:w="70" w:type="dxa"/>
              <w:start w:w="90" w:type="dxa"/>
              <w:bottom w:w="70" w:type="dxa"/>
              <w:end w:w="90" w:type="dxa"/>
            </w:tcMar>
          </w:tcPr>
          <w:p>
            <w:r/>
            <w:r>
              <w:rPr>
                <w:rFonts w:ascii="Liberation Sans" w:hAnsi="Liberation Sans"/>
                <w:b w:val="0"/>
                <w:sz w:val="16"/>
              </w:rPr>
              <w:t>AI RACI / Lifecycle SOP</w:t>
            </w:r>
          </w:p>
        </w:tc>
        <w:tc>
          <w:tcPr>
            <w:tcW w:type="dxa" w:w="3744"/>
            <w:vAlign w:val="center"/>
            <w:tcMar>
              <w:top w:w="70" w:type="dxa"/>
              <w:start w:w="90" w:type="dxa"/>
              <w:bottom w:w="70" w:type="dxa"/>
              <w:end w:w="90" w:type="dxa"/>
            </w:tcMar>
          </w:tcPr>
          <w:p>
            <w:r/>
            <w:r>
              <w:rPr>
                <w:rFonts w:ascii="Liberation Sans" w:hAnsi="Liberation Sans"/>
                <w:b w:val="0"/>
                <w:sz w:val="16"/>
              </w:rPr>
              <w:t>Defines owners, reviewers, approval gates and evidence workflow.</w:t>
            </w:r>
          </w:p>
        </w:tc>
        <w:tc>
          <w:tcPr>
            <w:tcW w:type="dxa" w:w="3744"/>
            <w:vAlign w:val="center"/>
            <w:tcMar>
              <w:top w:w="70" w:type="dxa"/>
              <w:start w:w="90" w:type="dxa"/>
              <w:bottom w:w="70" w:type="dxa"/>
              <w:end w:w="90" w:type="dxa"/>
            </w:tcMar>
          </w:tcPr>
          <w:p>
            <w:r/>
            <w:r>
              <w:rPr>
                <w:rFonts w:ascii="Liberation Sans" w:hAnsi="Liberation Sans"/>
                <w:b w:val="0"/>
                <w:sz w:val="16"/>
              </w:rPr>
              <w:t>HUDERIA roles and actions use those existing accountability mechanisms rather than creating a parallel governance structure.</w:t>
            </w:r>
          </w:p>
        </w:tc>
      </w:tr>
    </w:tbl>
    <w:p>
      <w:pPr>
        <w:spacing w:after="0"/>
      </w:pPr>
    </w:p>
    <w:p>
      <w:pPr>
        <w:pStyle w:val="Heading1"/>
      </w:pPr>
      <w:r>
        <w:t>6. Legal and Framework Boundary</w:t>
      </w:r>
    </w:p>
    <w:p>
      <w:r>
        <w:t>The Council of Europe Framework Convention is a legally binding treaty for its Parties. Its requirements are implemented through Party-level legal and policy measures; the treatment of private actors depends on the applicable Party approach and domestic law. This pack therefore does not assert that the Convention directly imposes these documents on Duckworks. Legal applicability must be confirmed separately by Duckworks Legal.</w:t>
      </w:r>
    </w:p>
    <w:p>
      <w:pPr>
        <w:pStyle w:val="Heading1"/>
      </w:pPr>
      <w:r>
        <w:t>7. Current DuckTalent Decision</w:t>
      </w:r>
    </w:p>
    <w:tbl>
      <w:tblPr>
        <w:tblW w:type="auto" w:w="0"/>
        <w:jc w:val="left"/>
        <w:tblLook w:firstColumn="1" w:firstRow="1" w:lastColumn="0" w:lastRow="0" w:noHBand="0" w:noVBand="1" w:val="04A0"/>
      </w:tblPr>
      <w:tblGrid>
        <w:gridCol w:w="10166"/>
      </w:tblGrid>
      <w:tr>
        <w:tc>
          <w:tcPr>
            <w:tcW w:type="dxa" w:w="10166"/>
            <w:shd w:fill="FCEBEC"/>
            <w:tcMar>
              <w:top w:w="100" w:type="dxa"/>
              <w:start w:w="120" w:type="dxa"/>
              <w:bottom w:w="100" w:type="dxa"/>
              <w:end w:w="120" w:type="dxa"/>
            </w:tcMar>
          </w:tcPr>
          <w:p>
            <w:pPr>
              <w:pStyle w:val="Callout"/>
            </w:pPr>
            <w:r/>
            <w:r>
              <w:rPr>
                <w:b/>
                <w:color w:val="17324D"/>
              </w:rPr>
              <w:t xml:space="preserve">Lifecycle gate: </w:t>
            </w:r>
            <w:r>
              <w:t>DO NOT DEPLOY with real applicants. The HUDERIA work confirms the need for enhanced assessment, stakeholder input, fairness/accuracy validation, privacy/legal review, meaningful human oversight, security/vendor evidence, accessible contestability, and closed blocking actions before any real-world pilot or production approval.</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DW-WING-HUD-00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HUDERIA ASSESSMENT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